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horzAnchor="margin" w:tblpXSpec="center" w:tblpY="-1792"/>
        <w:tblW w:w="16160" w:type="dxa"/>
        <w:tblInd w:w="0" w:type="dxa"/>
        <w:tblLayout w:type="fixed"/>
        <w:tblCellMar>
          <w:top w:w="0" w:type="dxa"/>
          <w:left w:w="108" w:type="dxa"/>
          <w:bottom w:w="0" w:type="dxa"/>
          <w:right w:w="108" w:type="dxa"/>
        </w:tblCellMar>
      </w:tblPr>
      <w:tblGrid>
        <w:gridCol w:w="284"/>
        <w:gridCol w:w="570"/>
        <w:gridCol w:w="937"/>
        <w:gridCol w:w="620"/>
        <w:gridCol w:w="709"/>
        <w:gridCol w:w="709"/>
        <w:gridCol w:w="707"/>
        <w:gridCol w:w="710"/>
        <w:gridCol w:w="992"/>
        <w:gridCol w:w="709"/>
        <w:gridCol w:w="709"/>
        <w:gridCol w:w="1417"/>
        <w:gridCol w:w="993"/>
        <w:gridCol w:w="2550"/>
        <w:gridCol w:w="709"/>
        <w:gridCol w:w="1129"/>
        <w:gridCol w:w="430"/>
        <w:gridCol w:w="1276"/>
      </w:tblGrid>
      <w:tr>
        <w:tblPrEx>
          <w:tblLayout w:type="fixed"/>
          <w:tblCellMar>
            <w:top w:w="0" w:type="dxa"/>
            <w:left w:w="108" w:type="dxa"/>
            <w:bottom w:w="0" w:type="dxa"/>
            <w:right w:w="108" w:type="dxa"/>
          </w:tblCellMar>
        </w:tblPrEx>
        <w:trPr>
          <w:gridAfter w:val="2"/>
          <w:wAfter w:w="1706" w:type="dxa"/>
          <w:trHeight w:val="502" w:hRule="atLeast"/>
        </w:trPr>
        <w:tc>
          <w:tcPr>
            <w:tcW w:w="14454" w:type="dxa"/>
            <w:gridSpan w:val="16"/>
            <w:tcBorders>
              <w:top w:val="nil"/>
              <w:left w:val="nil"/>
              <w:bottom w:val="nil"/>
              <w:right w:val="nil"/>
            </w:tcBorders>
            <w:shd w:val="clear" w:color="auto" w:fill="auto"/>
            <w:noWrap/>
            <w:vAlign w:val="center"/>
          </w:tcPr>
          <w:p>
            <w:pPr>
              <w:widowControl/>
              <w:ind w:firstLine="840" w:firstLineChars="300"/>
              <w:jc w:val="left"/>
              <w:rPr>
                <w:rFonts w:ascii="宋体" w:hAnsi="宋体" w:cs="宋体"/>
                <w:color w:val="000000"/>
                <w:kern w:val="0"/>
                <w:sz w:val="28"/>
                <w:szCs w:val="28"/>
              </w:rPr>
            </w:pPr>
          </w:p>
          <w:p>
            <w:pPr>
              <w:widowControl/>
              <w:ind w:firstLine="960" w:firstLineChars="300"/>
              <w:jc w:val="left"/>
              <w:rPr>
                <w:rFonts w:ascii="宋体" w:hAnsi="宋体" w:cs="宋体"/>
                <w:color w:val="000000"/>
                <w:kern w:val="0"/>
                <w:sz w:val="28"/>
                <w:szCs w:val="28"/>
              </w:rPr>
            </w:pPr>
            <w:r>
              <w:rPr>
                <w:rFonts w:hint="eastAsia" w:ascii="黑体" w:hAnsi="黑体" w:eastAsia="黑体" w:cs="宋体"/>
                <w:color w:val="000000"/>
                <w:kern w:val="0"/>
                <w:sz w:val="32"/>
                <w:szCs w:val="32"/>
              </w:rPr>
              <w:t>附件1.1</w:t>
            </w:r>
          </w:p>
        </w:tc>
      </w:tr>
      <w:tr>
        <w:tblPrEx>
          <w:tblLayout w:type="fixed"/>
          <w:tblCellMar>
            <w:top w:w="0" w:type="dxa"/>
            <w:left w:w="108" w:type="dxa"/>
            <w:bottom w:w="0" w:type="dxa"/>
            <w:right w:w="108" w:type="dxa"/>
          </w:tblCellMar>
        </w:tblPrEx>
        <w:trPr>
          <w:gridBefore w:val="1"/>
          <w:wBefore w:w="284" w:type="dxa"/>
          <w:trHeight w:val="458" w:hRule="atLeast"/>
        </w:trPr>
        <w:tc>
          <w:tcPr>
            <w:tcW w:w="15876" w:type="dxa"/>
            <w:gridSpan w:val="17"/>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36"/>
                <w:szCs w:val="36"/>
              </w:rPr>
            </w:pPr>
            <w:bookmarkStart w:id="0" w:name="_GoBack"/>
            <w:r>
              <w:rPr>
                <w:rFonts w:hint="eastAsia" w:ascii="方正小标宋简体" w:hAnsi="宋体" w:eastAsia="方正小标宋简体" w:cs="宋体"/>
                <w:color w:val="000000"/>
                <w:kern w:val="0"/>
                <w:sz w:val="36"/>
                <w:szCs w:val="36"/>
              </w:rPr>
              <w:t>深圳市盐田区2019年面向全国选聘医疗卫生人才岗位表</w:t>
            </w:r>
            <w:bookmarkEnd w:id="0"/>
          </w:p>
        </w:tc>
      </w:tr>
      <w:tr>
        <w:tblPrEx>
          <w:tblLayout w:type="fixed"/>
          <w:tblCellMar>
            <w:top w:w="0" w:type="dxa"/>
            <w:left w:w="108" w:type="dxa"/>
            <w:bottom w:w="0" w:type="dxa"/>
            <w:right w:w="108" w:type="dxa"/>
          </w:tblCellMar>
        </w:tblPrEx>
        <w:trPr>
          <w:gridBefore w:val="1"/>
          <w:wBefore w:w="284" w:type="dxa"/>
          <w:trHeight w:val="627" w:hRule="atLeast"/>
        </w:trPr>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主管单位</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招聘单位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岗位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岗位等级</w:t>
            </w: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拟聘人数</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性别</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最高年龄（岁）</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最低学历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最低学位</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从事专业</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最低专业技术资格</w:t>
            </w:r>
          </w:p>
        </w:tc>
        <w:tc>
          <w:tcPr>
            <w:tcW w:w="2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与岗位要求相关的其他条件</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户籍要求</w:t>
            </w:r>
          </w:p>
        </w:tc>
        <w:tc>
          <w:tcPr>
            <w:tcW w:w="283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拟聘岗位等和相关说明</w:t>
            </w:r>
          </w:p>
        </w:tc>
      </w:tr>
      <w:tr>
        <w:tblPrEx>
          <w:tblLayout w:type="fixed"/>
          <w:tblCellMar>
            <w:top w:w="0" w:type="dxa"/>
            <w:left w:w="108" w:type="dxa"/>
            <w:bottom w:w="0" w:type="dxa"/>
            <w:right w:w="108" w:type="dxa"/>
          </w:tblCellMar>
        </w:tblPrEx>
        <w:trPr>
          <w:gridBefore w:val="1"/>
          <w:wBefore w:w="284" w:type="dxa"/>
          <w:trHeight w:val="2152"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深圳市盐田区卫生健康局</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深圳市盐田区人民医院</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学科带头人</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专业技术岗位七级及以上</w:t>
            </w:r>
          </w:p>
        </w:tc>
        <w:tc>
          <w:tcPr>
            <w:tcW w:w="7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7</w:t>
            </w:r>
          </w:p>
        </w:tc>
        <w:tc>
          <w:tcPr>
            <w:tcW w:w="7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不限</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50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研究生</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硕士</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5"/>
                <w:szCs w:val="15"/>
              </w:rPr>
            </w:pPr>
            <w:r>
              <w:rPr>
                <w:rFonts w:hint="eastAsia" w:ascii="宋体" w:hAnsi="宋体" w:cs="宋体"/>
                <w:kern w:val="0"/>
                <w:sz w:val="15"/>
                <w:szCs w:val="15"/>
              </w:rPr>
              <w:t>普外科、呼吸内科、麻醉科、儿科、重症医学、康复医学、针灸推拿、超声影像、肿瘤科</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副主任</w:t>
            </w:r>
          </w:p>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医师</w:t>
            </w:r>
          </w:p>
        </w:tc>
        <w:tc>
          <w:tcPr>
            <w:tcW w:w="255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全日制普通高等院校毕业；在聘副高级专业技术岗位2年及以上（全日制博士且40周岁及以下的，具有副主任医师资格即可）；5年及以上三甲医院相关专业工作经历。有科主任或高等医学院校附属医院工作经历者优先。</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市内外</w:t>
            </w:r>
          </w:p>
        </w:tc>
        <w:tc>
          <w:tcPr>
            <w:tcW w:w="155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如拟聘人员具有主任医师资格，拟聘为四级专业技术岗位；如拟聘人员具有副主任医师资格，拟聘为七级专业技术岗位</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副主任医师且年龄超过45周岁的，适用紧缺岗位，聘用后需在本单位工作满5年</w:t>
            </w:r>
          </w:p>
        </w:tc>
      </w:tr>
      <w:tr>
        <w:tblPrEx>
          <w:tblLayout w:type="fixed"/>
          <w:tblCellMar>
            <w:top w:w="0" w:type="dxa"/>
            <w:left w:w="108" w:type="dxa"/>
            <w:bottom w:w="0" w:type="dxa"/>
            <w:right w:w="108" w:type="dxa"/>
          </w:tblCellMar>
        </w:tblPrEx>
        <w:trPr>
          <w:gridBefore w:val="1"/>
          <w:wBefore w:w="284" w:type="dxa"/>
          <w:trHeight w:val="3262"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深圳市盐田区卫生健康局</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深圳市盐田区人民医院</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专业技术骨干</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专业技术岗位十级及以上</w:t>
            </w:r>
          </w:p>
        </w:tc>
        <w:tc>
          <w:tcPr>
            <w:tcW w:w="7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6</w:t>
            </w:r>
          </w:p>
        </w:tc>
        <w:tc>
          <w:tcPr>
            <w:tcW w:w="7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不限</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50（副主任医师及以上）;40（主治医师）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研究生</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硕士</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FF0000"/>
                <w:kern w:val="0"/>
                <w:sz w:val="15"/>
                <w:szCs w:val="15"/>
              </w:rPr>
            </w:pPr>
            <w:r>
              <w:rPr>
                <w:rFonts w:hint="eastAsia" w:ascii="宋体" w:hAnsi="宋体" w:cs="宋体"/>
                <w:kern w:val="0"/>
                <w:sz w:val="15"/>
                <w:szCs w:val="15"/>
              </w:rPr>
              <w:t>神经内科、儿科、消化内科、口腔医学、康复医学、超声影像、急诊内科、普外科、胸外科、新生儿科、肾病风湿科、骨科、皮肤科、针推针灸推拿、全科医学、血液科、心血管内科、甲乳外科、麻醉科、病理诊断、肿瘤科、公共卫生</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主治医师</w:t>
            </w:r>
          </w:p>
        </w:tc>
        <w:tc>
          <w:tcPr>
            <w:tcW w:w="255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全日制普通高等院校毕业；5年及以上三级医院相关专业工作经历。有高等医学院校附属医院或三甲医院工作经历者优先。40周岁以上的要求具有副主任医师及以上资格且在聘副高级专业技术岗位2年及以上。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市内外</w:t>
            </w:r>
          </w:p>
        </w:tc>
        <w:tc>
          <w:tcPr>
            <w:tcW w:w="155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如拟聘人员具有主任医师专业资格，拟聘为四级专业技术岗位；如拟聘人员具有副主任医师资格，拟聘为七级专业技术岗位；如拟聘人员具有主治医师资格，拟聘为十级专业技术岗位</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副主任医师且年龄超过45周岁的或主治医师适用紧缺岗位，聘用后需在本单位工作满5年</w:t>
            </w:r>
          </w:p>
        </w:tc>
      </w:tr>
    </w:tbl>
    <w:p>
      <w:pPr>
        <w:pStyle w:val="5"/>
        <w:shd w:val="clear" w:color="auto" w:fill="FFFFFF"/>
        <w:adjustRightInd w:val="0"/>
        <w:spacing w:before="0" w:beforeAutospacing="0" w:after="0" w:afterAutospacing="0" w:line="240" w:lineRule="exact"/>
        <w:rPr>
          <w:rFonts w:ascii="仿宋_GB2312" w:eastAsia="仿宋_GB2312"/>
          <w:color w:val="333333"/>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AE"/>
    <w:rsid w:val="000619B3"/>
    <w:rsid w:val="00065C27"/>
    <w:rsid w:val="001A6A67"/>
    <w:rsid w:val="001B1F87"/>
    <w:rsid w:val="001D74CA"/>
    <w:rsid w:val="001D7BBA"/>
    <w:rsid w:val="00254DAE"/>
    <w:rsid w:val="002660BB"/>
    <w:rsid w:val="0028723D"/>
    <w:rsid w:val="002D744B"/>
    <w:rsid w:val="0031114D"/>
    <w:rsid w:val="00323D76"/>
    <w:rsid w:val="00330FBF"/>
    <w:rsid w:val="00331C6B"/>
    <w:rsid w:val="003B065A"/>
    <w:rsid w:val="003B293F"/>
    <w:rsid w:val="003C639A"/>
    <w:rsid w:val="003E55A2"/>
    <w:rsid w:val="00412828"/>
    <w:rsid w:val="004226D5"/>
    <w:rsid w:val="00446001"/>
    <w:rsid w:val="00454D59"/>
    <w:rsid w:val="004B7656"/>
    <w:rsid w:val="004B7FD2"/>
    <w:rsid w:val="004F14E2"/>
    <w:rsid w:val="005743F4"/>
    <w:rsid w:val="00592953"/>
    <w:rsid w:val="005E7F94"/>
    <w:rsid w:val="005F2B75"/>
    <w:rsid w:val="00605C95"/>
    <w:rsid w:val="00687038"/>
    <w:rsid w:val="006A1D15"/>
    <w:rsid w:val="006D7A92"/>
    <w:rsid w:val="00725C2A"/>
    <w:rsid w:val="00734EDD"/>
    <w:rsid w:val="007B08AC"/>
    <w:rsid w:val="007D723A"/>
    <w:rsid w:val="00811CCD"/>
    <w:rsid w:val="0085362F"/>
    <w:rsid w:val="00896477"/>
    <w:rsid w:val="008A3564"/>
    <w:rsid w:val="00924BEC"/>
    <w:rsid w:val="00970EAC"/>
    <w:rsid w:val="009B5A20"/>
    <w:rsid w:val="009E1BFB"/>
    <w:rsid w:val="00A174BE"/>
    <w:rsid w:val="00A35DBA"/>
    <w:rsid w:val="00A81B49"/>
    <w:rsid w:val="00AC16BF"/>
    <w:rsid w:val="00AD271C"/>
    <w:rsid w:val="00B0078B"/>
    <w:rsid w:val="00B93B12"/>
    <w:rsid w:val="00BD7265"/>
    <w:rsid w:val="00BE663A"/>
    <w:rsid w:val="00BF25E8"/>
    <w:rsid w:val="00C76D17"/>
    <w:rsid w:val="00CA163B"/>
    <w:rsid w:val="00CF3D92"/>
    <w:rsid w:val="00D10A50"/>
    <w:rsid w:val="00D90FDE"/>
    <w:rsid w:val="00DA0117"/>
    <w:rsid w:val="00DA63BE"/>
    <w:rsid w:val="00DD1A90"/>
    <w:rsid w:val="00E14395"/>
    <w:rsid w:val="00E32FEC"/>
    <w:rsid w:val="00E967C8"/>
    <w:rsid w:val="00EB2D10"/>
    <w:rsid w:val="00EC7B8B"/>
    <w:rsid w:val="00ED7755"/>
    <w:rsid w:val="00EE40A4"/>
    <w:rsid w:val="00EE5CCC"/>
    <w:rsid w:val="00F25D86"/>
    <w:rsid w:val="00F515B9"/>
    <w:rsid w:val="00F55BD3"/>
    <w:rsid w:val="00F61660"/>
    <w:rsid w:val="00F658DA"/>
    <w:rsid w:val="00FE0993"/>
    <w:rsid w:val="6F7D7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日期 Char"/>
    <w:basedOn w:val="7"/>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盐田区人民医院</Company>
  <Pages>1</Pages>
  <Words>124</Words>
  <Characters>711</Characters>
  <Lines>5</Lines>
  <Paragraphs>1</Paragraphs>
  <TotalTime>14</TotalTime>
  <ScaleCrop>false</ScaleCrop>
  <LinksUpToDate>false</LinksUpToDate>
  <CharactersWithSpaces>834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2019-01-15T12:29:00Z</dcterms:created>
  <dc:creator>CZF</dc:creator>
  <cp:lastModifiedBy>475</cp:lastModifiedBy>
  <cp:lastPrinted>2019-01-08T12:20:00Z</cp:lastPrinted>
  <dcterms:modified xsi:type="dcterms:W3CDTF">2019-03-14T09:27:33Z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