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692" w:firstLineChars="745"/>
        <w:rPr>
          <w:rFonts w:hint="eastAsia" w:asci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bCs/>
          <w:sz w:val="36"/>
          <w:szCs w:val="36"/>
        </w:rPr>
        <w:t>洛阳市第一中医院</w:t>
      </w:r>
    </w:p>
    <w:p>
      <w:pPr>
        <w:spacing w:line="500" w:lineRule="exact"/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2019年招聘专业技术人员一览表</w:t>
      </w:r>
    </w:p>
    <w:bookmarkEnd w:id="0"/>
    <w:p>
      <w:pPr>
        <w:rPr>
          <w:rFonts w:hint="eastAsia"/>
          <w:bCs/>
          <w:sz w:val="36"/>
          <w:szCs w:val="36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  <w:t>一、</w:t>
      </w: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拟招聘岗位及要求</w:t>
      </w:r>
    </w:p>
    <w:tbl>
      <w:tblPr>
        <w:tblStyle w:val="2"/>
        <w:tblW w:w="9540" w:type="dxa"/>
        <w:tblInd w:w="-70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1260"/>
        <w:gridCol w:w="1800"/>
        <w:gridCol w:w="37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00" w:type="dxa"/>
            <w:shd w:val="clear" w:color="auto" w:fill="FFFFFF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 量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3780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 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exact"/>
        </w:trPr>
        <w:tc>
          <w:tcPr>
            <w:tcW w:w="27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中医、西医、中西医结合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ind w:firstLine="163" w:firstLineChars="68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3780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报名时间不限，长期有效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exact"/>
        </w:trPr>
        <w:tc>
          <w:tcPr>
            <w:tcW w:w="2700" w:type="dxa"/>
            <w:shd w:val="clear" w:color="auto" w:fill="FFFFFF"/>
            <w:noWrap w:val="0"/>
            <w:vAlign w:val="top"/>
          </w:tcPr>
          <w:p>
            <w:pPr>
              <w:widowControl/>
              <w:spacing w:line="39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儿科学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2人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8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主治医师及以上职称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00" w:type="dxa"/>
            <w:shd w:val="clear" w:color="auto" w:fill="FFFFFF"/>
            <w:noWrap w:val="0"/>
            <w:vAlign w:val="top"/>
          </w:tcPr>
          <w:p>
            <w:pPr>
              <w:widowControl/>
              <w:spacing w:line="39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中医脾胃病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8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主治医师及以上职称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exact"/>
        </w:trPr>
        <w:tc>
          <w:tcPr>
            <w:tcW w:w="2700" w:type="dxa"/>
            <w:shd w:val="clear" w:color="auto" w:fill="FFFFFF"/>
            <w:noWrap w:val="0"/>
            <w:vAlign w:val="top"/>
          </w:tcPr>
          <w:p>
            <w:pPr>
              <w:widowControl/>
              <w:spacing w:line="39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男科或临床医学（泌尿外科）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8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主治医师及以上职称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9" w:hRule="exact"/>
        </w:trPr>
        <w:tc>
          <w:tcPr>
            <w:tcW w:w="2700" w:type="dxa"/>
            <w:shd w:val="clear" w:color="auto" w:fill="FFFFFF"/>
            <w:noWrap w:val="0"/>
            <w:vAlign w:val="top"/>
          </w:tcPr>
          <w:p>
            <w:pPr>
              <w:widowControl/>
              <w:spacing w:line="39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甲状腺乳腺专业或临床医学（甲状腺乳腺外科）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8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女性。主治医师及以上职称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2700" w:type="dxa"/>
            <w:shd w:val="clear" w:color="auto" w:fill="FFFFFF"/>
            <w:noWrap w:val="0"/>
            <w:vAlign w:val="top"/>
          </w:tcPr>
          <w:p>
            <w:pPr>
              <w:widowControl/>
              <w:spacing w:line="39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临床医学（神经外科）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8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主治医师及以上职称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exact"/>
        </w:trPr>
        <w:tc>
          <w:tcPr>
            <w:tcW w:w="2700" w:type="dxa"/>
            <w:shd w:val="clear" w:color="auto" w:fill="FFFFFF"/>
            <w:noWrap w:val="0"/>
            <w:vAlign w:val="top"/>
          </w:tcPr>
          <w:p>
            <w:pPr>
              <w:widowControl/>
              <w:spacing w:line="39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临床医学（肛肠外科）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8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男性。主治医师及以上职称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exact"/>
        </w:trPr>
        <w:tc>
          <w:tcPr>
            <w:tcW w:w="2700" w:type="dxa"/>
            <w:shd w:val="clear" w:color="auto" w:fill="FFFFFF"/>
            <w:noWrap w:val="0"/>
            <w:vAlign w:val="top"/>
          </w:tcPr>
          <w:p>
            <w:pPr>
              <w:widowControl/>
              <w:spacing w:line="39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临床医学（胃肠外科）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8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主治医师及以上职称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exact"/>
        </w:trPr>
        <w:tc>
          <w:tcPr>
            <w:tcW w:w="2700" w:type="dxa"/>
            <w:shd w:val="clear" w:color="auto" w:fill="FFFFFF"/>
            <w:noWrap w:val="0"/>
            <w:vAlign w:val="top"/>
          </w:tcPr>
          <w:p>
            <w:pPr>
              <w:widowControl/>
              <w:spacing w:line="39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中医外科（周围血管科）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378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主治医师及以上职称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exact"/>
        </w:trPr>
        <w:tc>
          <w:tcPr>
            <w:tcW w:w="2700" w:type="dxa"/>
            <w:shd w:val="clear" w:color="auto" w:fill="FFFFFF"/>
            <w:noWrap w:val="0"/>
            <w:vAlign w:val="top"/>
          </w:tcPr>
          <w:p>
            <w:pPr>
              <w:widowControl/>
              <w:spacing w:line="39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胸外科学或临床医学（胸外科）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8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主治医师及以上职称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exact"/>
        </w:trPr>
        <w:tc>
          <w:tcPr>
            <w:tcW w:w="27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妇产科学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8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主治医师及以上职称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exact"/>
        </w:trPr>
        <w:tc>
          <w:tcPr>
            <w:tcW w:w="27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眼科学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2人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8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主治医师及以上职称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exact"/>
        </w:trPr>
        <w:tc>
          <w:tcPr>
            <w:tcW w:w="27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皮肤学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8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主治医师及以上职称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exact"/>
        </w:trPr>
        <w:tc>
          <w:tcPr>
            <w:tcW w:w="27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临床营养学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1人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8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主治医师及以上职称，有临床营养师证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exact"/>
        </w:trPr>
        <w:tc>
          <w:tcPr>
            <w:tcW w:w="27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超声、医学影像学（超声科）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2人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8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有执业证、主治医师及以上职称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exact"/>
        </w:trPr>
        <w:tc>
          <w:tcPr>
            <w:tcW w:w="270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医学影像学（医学影像科）</w:t>
            </w:r>
          </w:p>
        </w:tc>
        <w:tc>
          <w:tcPr>
            <w:tcW w:w="1260" w:type="dxa"/>
            <w:shd w:val="clear" w:color="auto" w:fill="FFFFFF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3人</w:t>
            </w:r>
          </w:p>
        </w:tc>
        <w:tc>
          <w:tcPr>
            <w:tcW w:w="180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3780" w:type="dxa"/>
            <w:shd w:val="clear" w:color="auto" w:fill="FFFFFF"/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有执业证、主治医师及以上职称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42AE6"/>
    <w:rsid w:val="3B6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475</cp:lastModifiedBy>
  <dcterms:modified xsi:type="dcterms:W3CDTF">2019-04-04T03:45:18Z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