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方正黑体简体" w:hAnsi="方正仿宋简体" w:eastAsia="方正黑体简体" w:cs="方正仿宋简体"/>
          <w:color w:val="000000" w:themeColor="text1"/>
          <w:sz w:val="32"/>
        </w:rPr>
      </w:pPr>
      <w:permStart w:id="0" w:edGrp="everyone"/>
      <w:permEnd w:id="0"/>
      <w:r>
        <w:rPr>
          <w:rFonts w:hint="eastAsia" w:ascii="方正黑体简体" w:hAnsi="方正仿宋简体" w:eastAsia="方正黑体简体" w:cs="方正仿宋简体"/>
          <w:color w:val="000000" w:themeColor="text1"/>
          <w:sz w:val="32"/>
        </w:rPr>
        <w:t>附件</w:t>
      </w:r>
      <w:r>
        <w:rPr>
          <w:rFonts w:ascii="方正黑体简体" w:hAnsi="方正仿宋简体" w:eastAsia="方正黑体简体" w:cs="方正仿宋简体"/>
          <w:color w:val="000000" w:themeColor="text1"/>
          <w:sz w:val="32"/>
        </w:rPr>
        <w:t>2</w:t>
      </w:r>
    </w:p>
    <w:p>
      <w:pPr>
        <w:spacing w:line="560" w:lineRule="exact"/>
        <w:jc w:val="center"/>
        <w:rPr>
          <w:rFonts w:ascii="方正小标宋简体" w:eastAsia="方正小标宋简体"/>
          <w:color w:val="000000" w:themeColor="text1"/>
          <w:spacing w:val="-20"/>
          <w:w w:val="90"/>
          <w:sz w:val="44"/>
          <w:szCs w:val="44"/>
        </w:rPr>
      </w:pPr>
      <w:bookmarkStart w:id="0" w:name="_GoBack"/>
      <w:r>
        <w:rPr>
          <w:rFonts w:hint="eastAsia" w:ascii="方正小标宋简体" w:eastAsia="方正小标宋简体"/>
          <w:color w:val="000000" w:themeColor="text1"/>
          <w:spacing w:val="-20"/>
          <w:w w:val="90"/>
          <w:sz w:val="44"/>
          <w:szCs w:val="44"/>
        </w:rPr>
        <w:t>成都市青白江区201</w:t>
      </w:r>
      <w:r>
        <w:rPr>
          <w:rFonts w:ascii="方正小标宋简体" w:eastAsia="方正小标宋简体"/>
          <w:color w:val="000000" w:themeColor="text1"/>
          <w:spacing w:val="-20"/>
          <w:w w:val="90"/>
          <w:sz w:val="44"/>
          <w:szCs w:val="44"/>
        </w:rPr>
        <w:t>9</w:t>
      </w:r>
      <w:r>
        <w:rPr>
          <w:rFonts w:hint="eastAsia" w:ascii="方正小标宋简体" w:eastAsia="方正小标宋简体"/>
          <w:color w:val="000000" w:themeColor="text1"/>
          <w:spacing w:val="-20"/>
          <w:w w:val="90"/>
          <w:sz w:val="44"/>
          <w:szCs w:val="44"/>
        </w:rPr>
        <w:t>年第二次面向区外考核招聘高层次卫生专业技术人才岗位表</w:t>
      </w:r>
    </w:p>
    <w:bookmarkEnd w:id="0"/>
    <w:p>
      <w:pPr>
        <w:spacing w:line="560" w:lineRule="exact"/>
        <w:jc w:val="center"/>
        <w:rPr>
          <w:rFonts w:ascii="方正小标宋简体" w:eastAsia="方正小标宋简体"/>
          <w:color w:val="000000" w:themeColor="text1"/>
          <w:spacing w:val="-20"/>
          <w:w w:val="90"/>
          <w:sz w:val="44"/>
          <w:szCs w:val="44"/>
        </w:rPr>
      </w:pPr>
    </w:p>
    <w:tbl>
      <w:tblPr>
        <w:tblStyle w:val="4"/>
        <w:tblW w:w="14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84"/>
        <w:gridCol w:w="1129"/>
        <w:gridCol w:w="837"/>
        <w:gridCol w:w="1547"/>
        <w:gridCol w:w="1121"/>
        <w:gridCol w:w="1540"/>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序号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单位</w:t>
            </w:r>
          </w:p>
        </w:tc>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岗位</w:t>
            </w:r>
          </w:p>
        </w:tc>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人数</w:t>
            </w:r>
          </w:p>
        </w:tc>
        <w:tc>
          <w:tcPr>
            <w:tcW w:w="15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专业</w:t>
            </w:r>
          </w:p>
        </w:tc>
        <w:tc>
          <w:tcPr>
            <w:tcW w:w="11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学历</w:t>
            </w:r>
          </w:p>
        </w:tc>
        <w:tc>
          <w:tcPr>
            <w:tcW w:w="1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职称</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eastAsia="方正黑体简体"/>
                <w:color w:val="000000"/>
                <w:sz w:val="24"/>
              </w:rPr>
            </w:pPr>
            <w:r>
              <w:rPr>
                <w:rFonts w:hint="eastAsia" w:ascii="方正黑体简体" w:eastAsia="方正黑体简体"/>
                <w:color w:val="000000"/>
                <w:sz w:val="24"/>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青白江区疾控中心</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公共卫生</w:t>
            </w:r>
          </w:p>
        </w:tc>
        <w:tc>
          <w:tcPr>
            <w:tcW w:w="83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公共卫生、预防医学专业</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等线" w:eastAsia="方正仿宋简体"/>
                <w:sz w:val="20"/>
                <w:szCs w:val="20"/>
              </w:rPr>
            </w:pPr>
            <w:r>
              <w:rPr>
                <w:rFonts w:hint="eastAsia" w:ascii="方正仿宋简体" w:hAnsi="等线" w:eastAsia="方正仿宋简体"/>
                <w:sz w:val="20"/>
                <w:szCs w:val="20"/>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1.有不少于5年管理工作经验，取得全日制硕士研究生及以上学历人员可放宽至3年管理工作经验；</w:t>
            </w:r>
          </w:p>
          <w:p>
            <w:pPr>
              <w:widowControl/>
              <w:spacing w:line="240" w:lineRule="exact"/>
              <w:jc w:val="left"/>
              <w:textAlignment w:val="center"/>
              <w:rPr>
                <w:rFonts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2.</w:t>
            </w:r>
            <w:r>
              <w:rPr>
                <w:rFonts w:hint="eastAsia" w:ascii="方正仿宋简体" w:hAnsi="方正仿宋简体" w:eastAsia="方正仿宋简体" w:cs="方正仿宋简体"/>
                <w:color w:val="000000"/>
                <w:kern w:val="0"/>
                <w:szCs w:val="21"/>
              </w:rPr>
              <w:t xml:space="preserve"> 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眼科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有不少于三年三级乙等及以上医院眼科工作经验，取得全日制硕士研究生可以放宽至不少于三年二级甲等医院工作经验；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2.熟练掌握眼科常见病多发病的诊治，能独立操作疑难白内障手术；</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超声科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有不少于三年三级乙等及以上医院超声科工作经验，取得全日制硕士研究生可以放宽至不少于三年二级甲等医院工作经验；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2.能独立完成介入超声、肌骨超声、超声造影、心脏超声等；</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妇产科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有不少于三年三级乙等及以上医院妇产科工作经验，取得全日制硕士研究生可以放宽至不少于三年二级甲等医院工作经验；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2.能独立完成妇科腔镜手术，擅长妇产科疑难重症诊治；</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5</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麻醉</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有不少于三年三级乙等及以上医院麻醉科工作经验，取得全日制硕士研究生可以放宽至不少于三年二级甲等医院工作经验；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2.熟练掌握ASA三四级麻醉，熟悉小儿麻醉、老年患者麻醉、体外循环麻醉；</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6</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胸外科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有不少于三年三级乙等及以上医院胸外科工作经验，取得全日制硕士研究生可以放宽至不少于三年二级甲等医院工作经验；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2.能独立操作肺叶切除术和食管癌根治术等手术，熟练操作胸腔镜；</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7</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儿科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tcPr>
          <w:p>
            <w:pPr>
              <w:widowControl/>
              <w:numPr>
                <w:ilvl w:val="0"/>
                <w:numId w:val="6"/>
              </w:numPr>
              <w:jc w:val="left"/>
              <w:textAlignment w:val="top"/>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有不少于三年三级乙等及以上医院新生儿科工作经验，取得全日制硕士研究生可以放宽至不少于三年二级甲等医院工作经验；</w:t>
            </w:r>
            <w:r>
              <w:rPr>
                <w:rFonts w:ascii="方正仿宋简体" w:hAnsi="方正仿宋简体" w:eastAsia="方正仿宋简体" w:cs="方正仿宋简体"/>
                <w:color w:val="000000"/>
                <w:kern w:val="0"/>
                <w:szCs w:val="21"/>
              </w:rPr>
              <w:t xml:space="preserve"> </w:t>
            </w:r>
            <w:r>
              <w:rPr>
                <w:rFonts w:ascii="方正仿宋简体" w:hAnsi="方正仿宋简体" w:eastAsia="方正仿宋简体" w:cs="方正仿宋简体"/>
                <w:color w:val="000000"/>
                <w:kern w:val="0"/>
                <w:szCs w:val="21"/>
              </w:rPr>
              <w:br w:type="textWrapping"/>
            </w:r>
            <w:r>
              <w:rPr>
                <w:rFonts w:ascii="方正仿宋简体" w:hAnsi="方正仿宋简体" w:eastAsia="方正仿宋简体" w:cs="方正仿宋简体"/>
                <w:color w:val="000000"/>
                <w:kern w:val="0"/>
                <w:szCs w:val="21"/>
              </w:rPr>
              <w:t>2.熟练掌握儿科危重症的诊治，具有NICU工作经验；</w:t>
            </w:r>
            <w:r>
              <w:rPr>
                <w:rFonts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8</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肛肠科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7"/>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有不少于三年三级乙等及以上医院肛肠科工作经验，取得全日制硕士研究生可以放宽至不少于三年二级甲等医院工作经验；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2.熟练诊治各种肛门直肠周围疾病，如痔疮、肛瘘、肛裂、肛周脓肿等，熟练操作RPH、TST、PPH等微创手术；</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9</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口腔科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8"/>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有不少于三年三级乙等及以上医院口腔科工作经验，取得全日制硕士研究生可以放宽至不少于三年二级甲等医院工作经验；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2.熟练掌握口腔科常见病多发病的诊治，熟练操作口腔外科手术，独立完成口腔创伤复杂颌骨骨折固定术和肿瘤切除手术；</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10</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急诊科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有不少于三年三级乙等及以上医院急诊科工作经验，取得全日制硕士研究生可以放宽至不少于三年二级甲等医院工作经验；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2.熟练掌握院前急救基本技能，熟练掌握心肺复苏、人工气道建立与管理、机械通气技术、深静脉及动脉置管等技术，擅长院前、院内急诊急救及危重症的抢救；</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11</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骨科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10"/>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有不少于三年三级乙等及以上医院骨科工作经验，取得全日制硕士研究生可以放宽至不少于三年二级甲等医院工作经验；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2.按照国家三级医院医疗服务能力要求，应具备独立开展疑难重症及关键医疗技术基本标准项目及以上的技术服务能力；</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12</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耳鼻咽喉科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11"/>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有不少于三年三级乙等及以上医院耳鼻咽喉科工作经验，取得全日制硕士研究生可以放宽至不少于三年二级甲等医院工作经验；</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 熟练掌握耳鼻咽喉-头颈外科常见病多发病的疾病的诊断和治疗，熟练掌握鼻内窥镜下手术、喉显微外科手术、耳显微镜下手术；</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13</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神经内科</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（介入方向）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numPr>
                <w:ilvl w:val="0"/>
                <w:numId w:val="12"/>
              </w:numPr>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有不少于三年三级乙等及以上医院神经内科工作经验，取得全日制硕士研究生可以放宽至不少于三年二级甲等医院工作经验； </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2.熟练掌握各种神经系统疾病诊断和治疗，能独立开展脑血管病(中风)的急救诊治神经介入手术；</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14</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中医科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1.有不少于三年三级乙等及以上医院中医科工作经验，取得全日制硕士研究生可以放宽至不少于三年二级甲等医院工作经验； </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2.熟悉中医四大经典，运用辨证论治理念诊治常见病和疑难病。具有诊治特长的优先考虑；</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15</w:t>
            </w:r>
          </w:p>
        </w:tc>
        <w:tc>
          <w:tcPr>
            <w:tcW w:w="1184" w:type="dxa"/>
            <w:tcBorders>
              <w:top w:val="single" w:color="auto" w:sz="4" w:space="0"/>
              <w:left w:val="single" w:color="auto" w:sz="4" w:space="0"/>
              <w:right w:val="single" w:color="auto" w:sz="4" w:space="0"/>
            </w:tcBorders>
            <w:vAlign w:val="center"/>
          </w:tcPr>
          <w:p>
            <w:pPr>
              <w:widowControl/>
              <w:snapToGrid w:val="0"/>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青白江区人民医院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普外科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 xml:space="preserve">1.有不少于三年三级乙等及以上医院普外科工作经验，取得全日制硕士研究生可以放宽至不少于三年二级甲等医院工作经验； </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2.熟练掌握普外科常见病、多发病的诊治，熟练操作腔镜手术，如肝部分切除、结肠癌根治术等；</w:t>
            </w:r>
            <w:r>
              <w:rPr>
                <w:rFonts w:hint="eastAsia" w:ascii="方正仿宋简体" w:hAnsi="方正仿宋简体" w:eastAsia="方正仿宋简体" w:cs="方正仿宋简体"/>
                <w:color w:val="000000"/>
                <w:kern w:val="0"/>
                <w:szCs w:val="21"/>
              </w:rPr>
              <w:br w:type="textWrapping"/>
            </w: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16</w:t>
            </w:r>
          </w:p>
        </w:tc>
        <w:tc>
          <w:tcPr>
            <w:tcW w:w="1184" w:type="dxa"/>
            <w:tcBorders>
              <w:top w:val="single" w:color="auto" w:sz="4" w:space="0"/>
              <w:left w:val="single" w:color="auto" w:sz="4" w:space="0"/>
              <w:right w:val="single" w:color="auto" w:sz="4" w:space="0"/>
            </w:tcBorders>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青白江区中医医院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外科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泌尿外科</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1.具有5年以上二级甲等医院相关工作经历或具有三级医院相关工作经历；</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2.能熟练操作泌尿微创手术；</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w:t>
            </w:r>
            <w:r>
              <w:rPr>
                <w:rFonts w:ascii="方正仿宋简体" w:hAnsi="方正仿宋简体" w:eastAsia="方正仿宋简体" w:cs="方正仿宋简体"/>
                <w:color w:val="000000"/>
                <w:kern w:val="0"/>
                <w:szCs w:val="21"/>
              </w:rPr>
              <w:t>取得医学博士学位的</w:t>
            </w:r>
            <w:r>
              <w:rPr>
                <w:rFonts w:hint="eastAsia" w:ascii="方正仿宋简体" w:hAnsi="方正仿宋简体" w:eastAsia="方正仿宋简体" w:cs="方正仿宋简体"/>
                <w:color w:val="000000"/>
                <w:kern w:val="0"/>
                <w:szCs w:val="21"/>
              </w:rPr>
              <w:t>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17</w:t>
            </w:r>
          </w:p>
        </w:tc>
        <w:tc>
          <w:tcPr>
            <w:tcW w:w="1184" w:type="dxa"/>
            <w:tcBorders>
              <w:top w:val="single" w:color="auto" w:sz="4" w:space="0"/>
              <w:left w:val="single" w:color="auto" w:sz="4" w:space="0"/>
              <w:right w:val="single" w:color="auto" w:sz="4" w:space="0"/>
            </w:tcBorders>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青白江区中医医院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康复科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康复治疗学或针炙推拿学</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1.具有5年以上二级甲等医院相关工作经历或具有三级医院相关工作经历；</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w:t>
            </w:r>
            <w:r>
              <w:rPr>
                <w:rFonts w:ascii="方正仿宋简体" w:hAnsi="方正仿宋简体" w:eastAsia="方正仿宋简体" w:cs="方正仿宋简体"/>
                <w:color w:val="000000"/>
                <w:kern w:val="0"/>
                <w:szCs w:val="21"/>
              </w:rPr>
              <w:t>取得医学博士学位的</w:t>
            </w:r>
            <w:r>
              <w:rPr>
                <w:rFonts w:hint="eastAsia" w:ascii="方正仿宋简体" w:hAnsi="方正仿宋简体" w:eastAsia="方正仿宋简体" w:cs="方正仿宋简体"/>
                <w:color w:val="000000"/>
                <w:kern w:val="0"/>
                <w:szCs w:val="21"/>
              </w:rPr>
              <w:t>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18</w:t>
            </w:r>
          </w:p>
        </w:tc>
        <w:tc>
          <w:tcPr>
            <w:tcW w:w="1184" w:type="dxa"/>
            <w:tcBorders>
              <w:top w:val="single" w:color="auto" w:sz="4" w:space="0"/>
              <w:left w:val="single" w:color="auto" w:sz="4" w:space="0"/>
              <w:right w:val="single" w:color="auto" w:sz="4" w:space="0"/>
            </w:tcBorders>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青白江区中医医院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医学影像科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医学影像或放射治疗专业</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1.具有5年以上二级甲等医院相关工作经历或具有三级医院相关工作经历；</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w:t>
            </w:r>
            <w:r>
              <w:rPr>
                <w:rFonts w:ascii="方正仿宋简体" w:hAnsi="方正仿宋简体" w:eastAsia="方正仿宋简体" w:cs="方正仿宋简体"/>
                <w:color w:val="000000"/>
                <w:kern w:val="0"/>
                <w:szCs w:val="21"/>
              </w:rPr>
              <w:t>取得医学博士学位的</w:t>
            </w:r>
            <w:r>
              <w:rPr>
                <w:rFonts w:hint="eastAsia" w:ascii="方正仿宋简体" w:hAnsi="方正仿宋简体" w:eastAsia="方正仿宋简体" w:cs="方正仿宋简体"/>
                <w:color w:val="000000"/>
                <w:kern w:val="0"/>
                <w:szCs w:val="21"/>
              </w:rPr>
              <w:t>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19</w:t>
            </w:r>
          </w:p>
        </w:tc>
        <w:tc>
          <w:tcPr>
            <w:tcW w:w="1184" w:type="dxa"/>
            <w:tcBorders>
              <w:top w:val="single" w:color="auto" w:sz="4" w:space="0"/>
              <w:left w:val="single" w:color="auto" w:sz="4" w:space="0"/>
              <w:right w:val="single" w:color="auto" w:sz="4" w:space="0"/>
            </w:tcBorders>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青白江区中医医院</w:t>
            </w:r>
          </w:p>
        </w:tc>
        <w:tc>
          <w:tcPr>
            <w:tcW w:w="1129"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内科或急诊科</w:t>
            </w:r>
          </w:p>
        </w:tc>
        <w:tc>
          <w:tcPr>
            <w:tcW w:w="837"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内科学（肾病、呼吸、心血管）或中医内科</w:t>
            </w:r>
          </w:p>
        </w:tc>
        <w:tc>
          <w:tcPr>
            <w:tcW w:w="1121" w:type="dxa"/>
            <w:vMerge w:val="restart"/>
            <w:tcBorders>
              <w:top w:val="single" w:color="auto" w:sz="4" w:space="0"/>
              <w:left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副高级职称及以上（医学类）</w:t>
            </w:r>
          </w:p>
        </w:tc>
        <w:tc>
          <w:tcPr>
            <w:tcW w:w="6356" w:type="dxa"/>
            <w:vMerge w:val="restart"/>
            <w:tcBorders>
              <w:top w:val="single" w:color="auto" w:sz="4" w:space="0"/>
              <w:left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1.具有5年以上二级甲等医院相关工作经历或具有三级医院相关工作经历；</w:t>
            </w:r>
          </w:p>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w:t>
            </w:r>
            <w:r>
              <w:rPr>
                <w:rFonts w:ascii="方正仿宋简体" w:hAnsi="方正仿宋简体" w:eastAsia="方正仿宋简体" w:cs="方正仿宋简体"/>
                <w:color w:val="000000"/>
                <w:kern w:val="0"/>
                <w:szCs w:val="21"/>
              </w:rPr>
              <w:t>取得医学专业博士</w:t>
            </w:r>
            <w:r>
              <w:rPr>
                <w:rFonts w:hint="eastAsia" w:ascii="方正仿宋简体" w:hAnsi="方正仿宋简体" w:eastAsia="方正仿宋简体" w:cs="方正仿宋简体"/>
                <w:color w:val="000000"/>
                <w:kern w:val="0"/>
                <w:szCs w:val="21"/>
              </w:rPr>
              <w:t>学位不受工作经历和职称条件限制。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20</w:t>
            </w:r>
          </w:p>
        </w:tc>
        <w:tc>
          <w:tcPr>
            <w:tcW w:w="1184" w:type="dxa"/>
            <w:tcBorders>
              <w:top w:val="single" w:color="auto" w:sz="4" w:space="0"/>
              <w:left w:val="single" w:color="auto" w:sz="4" w:space="0"/>
              <w:right w:val="single" w:color="auto" w:sz="4" w:space="0"/>
            </w:tcBorders>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青白江区中医医院</w:t>
            </w:r>
          </w:p>
        </w:tc>
        <w:tc>
          <w:tcPr>
            <w:tcW w:w="1129"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p>
        </w:tc>
        <w:tc>
          <w:tcPr>
            <w:tcW w:w="83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急诊医学</w:t>
            </w:r>
          </w:p>
        </w:tc>
        <w:tc>
          <w:tcPr>
            <w:tcW w:w="1121" w:type="dxa"/>
            <w:vMerge w:val="continue"/>
            <w:tcBorders>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p>
        </w:tc>
        <w:tc>
          <w:tcPr>
            <w:tcW w:w="1540"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p>
        </w:tc>
        <w:tc>
          <w:tcPr>
            <w:tcW w:w="6356" w:type="dxa"/>
            <w:vMerge w:val="continue"/>
            <w:tcBorders>
              <w:left w:val="single" w:color="auto" w:sz="4" w:space="0"/>
              <w:bottom w:val="single" w:color="auto" w:sz="4" w:space="0"/>
              <w:right w:val="single" w:color="auto" w:sz="4" w:space="0"/>
            </w:tcBorders>
            <w:vAlign w:val="center"/>
          </w:tcPr>
          <w:p>
            <w:pPr>
              <w:widowControl/>
              <w:numPr>
                <w:ilvl w:val="0"/>
                <w:numId w:val="13"/>
              </w:numPr>
              <w:jc w:val="left"/>
              <w:textAlignment w:val="center"/>
              <w:rPr>
                <w:rFonts w:ascii="方正仿宋简体" w:hAnsi="方正仿宋简体" w:eastAsia="方正仿宋简体" w:cs="方正仿宋简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21</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青白江区妇保院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儿科（含新生儿）</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1.有三级乙等及以上医院儿科或新生儿科工作经历，取得全日制硕士研究生可以放宽为具有二级甲等医院工作经历；</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2.熟练掌握儿科危重病的诊治，新生儿科医生具有NICU工作经验；</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22</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青白江区妇保院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妇产科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1.有三级乙等及以上医院妇产科工作经历，取得全日制硕士研究生可以放宽为具有二级甲等医院工作经历；</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2.熟练掌握妇产科常见病、多发病、疑难病的诊治；</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23</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青白江区妇保院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超声科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1.有三级乙等及以上医院超声科工作经历，取得全日制硕士研究生可以放宽为具有二级甲等医院工作经历；</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2.能独立开展各种超声影像的诊断，掌握各项影像学临床知识，擅长妇产科、儿科超声检查，熟悉四维彩超，超声胎儿排畸筛查等；</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3.取得医学博士学位的不受工作经历和职称条件限制。</w:t>
            </w:r>
          </w:p>
          <w:p>
            <w:pPr>
              <w:widowControl/>
              <w:textAlignment w:val="center"/>
              <w:rPr>
                <w:rFonts w:ascii="方正仿宋简体" w:hAnsi="方正仿宋简体" w:eastAsia="方正仿宋简体" w:cs="方正仿宋简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24</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青白江区妇保院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检验科</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医学类</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副高职称及以上（医学类）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1.有三级乙等及以上医院检验科工作经历，取得全日制硕士研究生可以放宽为具有二级甲等医院工作经历；</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2.能</w:t>
            </w:r>
            <w:r>
              <w:rPr>
                <w:rFonts w:ascii="方正仿宋简体" w:hAnsi="方正仿宋简体" w:eastAsia="方正仿宋简体" w:cs="方正仿宋简体"/>
                <w:color w:val="000000"/>
                <w:kern w:val="0"/>
                <w:szCs w:val="21"/>
              </w:rPr>
              <w:t>独立完成临床常见检验的各项内容，并能够做出正确的检验结论</w:t>
            </w:r>
            <w:r>
              <w:rPr>
                <w:rFonts w:hint="eastAsia" w:ascii="方正仿宋简体" w:hAnsi="方正仿宋简体" w:eastAsia="方正仿宋简体" w:cs="方正仿宋简体"/>
                <w:color w:val="000000"/>
                <w:kern w:val="0"/>
                <w:szCs w:val="21"/>
              </w:rPr>
              <w:t>；</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3.取得医学博士学位的不受工作经历和职称条件限制。</w:t>
            </w:r>
          </w:p>
          <w:p>
            <w:pPr>
              <w:widowControl/>
              <w:textAlignment w:val="center"/>
              <w:rPr>
                <w:rFonts w:ascii="方正仿宋简体" w:hAnsi="方正仿宋简体" w:eastAsia="方正仿宋简体" w:cs="方正仿宋简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exac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25</w:t>
            </w:r>
          </w:p>
        </w:tc>
        <w:tc>
          <w:tcPr>
            <w:tcW w:w="1184" w:type="dxa"/>
            <w:tcBorders>
              <w:top w:val="single" w:color="auto" w:sz="4" w:space="0"/>
              <w:left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青白江区精神病防治院</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临床医师</w:t>
            </w:r>
          </w:p>
        </w:tc>
        <w:tc>
          <w:tcPr>
            <w:tcW w:w="8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4</w:t>
            </w:r>
          </w:p>
        </w:tc>
        <w:tc>
          <w:tcPr>
            <w:tcW w:w="154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精神卫生</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本科及以上学历</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副高级及以上（医学类）</w:t>
            </w:r>
          </w:p>
        </w:tc>
        <w:tc>
          <w:tcPr>
            <w:tcW w:w="635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1.有精神病专科医院或精神卫生中心2年以上临床工作经历；</w:t>
            </w:r>
          </w:p>
          <w:p>
            <w:pPr>
              <w:widowControl/>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2. 取得医学博士学位的不受工作经历和职称条件限制。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75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简体" w:hAnsi="方正仿宋简体" w:eastAsia="方正仿宋简体" w:cs="方正仿宋简体"/>
                <w:color w:val="000000"/>
                <w:kern w:val="0"/>
                <w:szCs w:val="21"/>
              </w:rPr>
            </w:pPr>
            <w:r>
              <w:rPr>
                <w:rFonts w:hint="eastAsia" w:ascii="方正仿宋简体" w:hAnsi="方正仿宋简体" w:eastAsia="方正仿宋简体" w:cs="方正仿宋简体"/>
                <w:color w:val="000000"/>
                <w:kern w:val="0"/>
                <w:szCs w:val="21"/>
              </w:rPr>
              <w:t>合计</w:t>
            </w:r>
          </w:p>
        </w:tc>
        <w:tc>
          <w:tcPr>
            <w:tcW w:w="12530"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方正仿宋简体" w:eastAsia="方正仿宋简体"/>
                <w:color w:val="000000"/>
                <w:szCs w:val="21"/>
              </w:rPr>
            </w:pPr>
            <w:r>
              <w:rPr>
                <w:rFonts w:hint="eastAsia" w:ascii="方正仿宋简体" w:eastAsia="方正仿宋简体"/>
                <w:color w:val="000000"/>
                <w:szCs w:val="21"/>
              </w:rPr>
              <w:t>28</w:t>
            </w:r>
          </w:p>
        </w:tc>
      </w:tr>
    </w:tbl>
    <w:p>
      <w:pPr>
        <w:widowControl/>
        <w:jc w:val="center"/>
        <w:textAlignment w:val="center"/>
        <w:rPr>
          <w:rFonts w:ascii="方正仿宋简体" w:hAnsi="方正仿宋简体" w:eastAsia="方正仿宋简体" w:cs="方正仿宋简体"/>
          <w:color w:val="000000"/>
          <w:kern w:val="0"/>
          <w:szCs w:val="21"/>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8D2AB"/>
    <w:multiLevelType w:val="singleLevel"/>
    <w:tmpl w:val="A428D2AB"/>
    <w:lvl w:ilvl="0" w:tentative="0">
      <w:start w:val="1"/>
      <w:numFmt w:val="decimal"/>
      <w:suff w:val="nothing"/>
      <w:lvlText w:val="%1、"/>
      <w:lvlJc w:val="left"/>
    </w:lvl>
  </w:abstractNum>
  <w:abstractNum w:abstractNumId="1">
    <w:nsid w:val="B45CFF1D"/>
    <w:multiLevelType w:val="singleLevel"/>
    <w:tmpl w:val="B45CFF1D"/>
    <w:lvl w:ilvl="0" w:tentative="0">
      <w:start w:val="1"/>
      <w:numFmt w:val="decimal"/>
      <w:lvlText w:val="%1."/>
      <w:lvlJc w:val="left"/>
      <w:pPr>
        <w:tabs>
          <w:tab w:val="left" w:pos="312"/>
        </w:tabs>
      </w:pPr>
    </w:lvl>
  </w:abstractNum>
  <w:abstractNum w:abstractNumId="2">
    <w:nsid w:val="B64B539B"/>
    <w:multiLevelType w:val="singleLevel"/>
    <w:tmpl w:val="B64B539B"/>
    <w:lvl w:ilvl="0" w:tentative="0">
      <w:start w:val="1"/>
      <w:numFmt w:val="decimal"/>
      <w:lvlText w:val="%1."/>
      <w:lvlJc w:val="left"/>
      <w:pPr>
        <w:tabs>
          <w:tab w:val="left" w:pos="312"/>
        </w:tabs>
      </w:pPr>
    </w:lvl>
  </w:abstractNum>
  <w:abstractNum w:abstractNumId="3">
    <w:nsid w:val="CFC86B0A"/>
    <w:multiLevelType w:val="singleLevel"/>
    <w:tmpl w:val="CFC86B0A"/>
    <w:lvl w:ilvl="0" w:tentative="0">
      <w:start w:val="1"/>
      <w:numFmt w:val="decimal"/>
      <w:lvlText w:val="%1."/>
      <w:lvlJc w:val="left"/>
      <w:pPr>
        <w:tabs>
          <w:tab w:val="left" w:pos="312"/>
        </w:tabs>
      </w:pPr>
    </w:lvl>
  </w:abstractNum>
  <w:abstractNum w:abstractNumId="4">
    <w:nsid w:val="DA906BBF"/>
    <w:multiLevelType w:val="singleLevel"/>
    <w:tmpl w:val="DA906BBF"/>
    <w:lvl w:ilvl="0" w:tentative="0">
      <w:start w:val="1"/>
      <w:numFmt w:val="decimal"/>
      <w:lvlText w:val="%1."/>
      <w:lvlJc w:val="left"/>
      <w:pPr>
        <w:tabs>
          <w:tab w:val="left" w:pos="312"/>
        </w:tabs>
      </w:pPr>
    </w:lvl>
  </w:abstractNum>
  <w:abstractNum w:abstractNumId="5">
    <w:nsid w:val="F1CBAFCE"/>
    <w:multiLevelType w:val="singleLevel"/>
    <w:tmpl w:val="F1CBAFCE"/>
    <w:lvl w:ilvl="0" w:tentative="0">
      <w:start w:val="1"/>
      <w:numFmt w:val="decimal"/>
      <w:lvlText w:val="%1."/>
      <w:lvlJc w:val="left"/>
      <w:pPr>
        <w:tabs>
          <w:tab w:val="left" w:pos="312"/>
        </w:tabs>
      </w:pPr>
    </w:lvl>
  </w:abstractNum>
  <w:abstractNum w:abstractNumId="6">
    <w:nsid w:val="16E64269"/>
    <w:multiLevelType w:val="singleLevel"/>
    <w:tmpl w:val="16E64269"/>
    <w:lvl w:ilvl="0" w:tentative="0">
      <w:start w:val="1"/>
      <w:numFmt w:val="decimal"/>
      <w:lvlText w:val="%1."/>
      <w:lvlJc w:val="left"/>
      <w:pPr>
        <w:tabs>
          <w:tab w:val="left" w:pos="312"/>
        </w:tabs>
      </w:pPr>
    </w:lvl>
  </w:abstractNum>
  <w:abstractNum w:abstractNumId="7">
    <w:nsid w:val="189057D4"/>
    <w:multiLevelType w:val="singleLevel"/>
    <w:tmpl w:val="189057D4"/>
    <w:lvl w:ilvl="0" w:tentative="0">
      <w:start w:val="1"/>
      <w:numFmt w:val="decimal"/>
      <w:lvlText w:val="%1."/>
      <w:lvlJc w:val="left"/>
      <w:pPr>
        <w:tabs>
          <w:tab w:val="left" w:pos="312"/>
        </w:tabs>
      </w:pPr>
    </w:lvl>
  </w:abstractNum>
  <w:abstractNum w:abstractNumId="8">
    <w:nsid w:val="30C8DA21"/>
    <w:multiLevelType w:val="singleLevel"/>
    <w:tmpl w:val="30C8DA21"/>
    <w:lvl w:ilvl="0" w:tentative="0">
      <w:start w:val="1"/>
      <w:numFmt w:val="decimal"/>
      <w:lvlText w:val="%1."/>
      <w:lvlJc w:val="left"/>
      <w:pPr>
        <w:tabs>
          <w:tab w:val="left" w:pos="312"/>
        </w:tabs>
      </w:pPr>
    </w:lvl>
  </w:abstractNum>
  <w:abstractNum w:abstractNumId="9">
    <w:nsid w:val="35A54FA3"/>
    <w:multiLevelType w:val="singleLevel"/>
    <w:tmpl w:val="35A54FA3"/>
    <w:lvl w:ilvl="0" w:tentative="0">
      <w:start w:val="1"/>
      <w:numFmt w:val="decimal"/>
      <w:lvlText w:val="%1."/>
      <w:lvlJc w:val="left"/>
      <w:pPr>
        <w:tabs>
          <w:tab w:val="left" w:pos="312"/>
        </w:tabs>
      </w:pPr>
    </w:lvl>
  </w:abstractNum>
  <w:abstractNum w:abstractNumId="10">
    <w:nsid w:val="56943B7D"/>
    <w:multiLevelType w:val="singleLevel"/>
    <w:tmpl w:val="56943B7D"/>
    <w:lvl w:ilvl="0" w:tentative="0">
      <w:start w:val="1"/>
      <w:numFmt w:val="decimal"/>
      <w:lvlText w:val="%1."/>
      <w:lvlJc w:val="left"/>
      <w:pPr>
        <w:tabs>
          <w:tab w:val="left" w:pos="312"/>
        </w:tabs>
      </w:pPr>
    </w:lvl>
  </w:abstractNum>
  <w:abstractNum w:abstractNumId="11">
    <w:nsid w:val="5A4F7911"/>
    <w:multiLevelType w:val="singleLevel"/>
    <w:tmpl w:val="5A4F7911"/>
    <w:lvl w:ilvl="0" w:tentative="0">
      <w:start w:val="1"/>
      <w:numFmt w:val="decimal"/>
      <w:lvlText w:val="%1."/>
      <w:lvlJc w:val="left"/>
      <w:pPr>
        <w:tabs>
          <w:tab w:val="left" w:pos="312"/>
        </w:tabs>
      </w:pPr>
    </w:lvl>
  </w:abstractNum>
  <w:abstractNum w:abstractNumId="12">
    <w:nsid w:val="6662A82A"/>
    <w:multiLevelType w:val="singleLevel"/>
    <w:tmpl w:val="6662A82A"/>
    <w:lvl w:ilvl="0" w:tentative="0">
      <w:start w:val="1"/>
      <w:numFmt w:val="decimal"/>
      <w:lvlText w:val="%1."/>
      <w:lvlJc w:val="left"/>
      <w:pPr>
        <w:tabs>
          <w:tab w:val="left" w:pos="312"/>
        </w:tabs>
      </w:pPr>
    </w:lvl>
  </w:abstractNum>
  <w:num w:numId="1">
    <w:abstractNumId w:val="8"/>
  </w:num>
  <w:num w:numId="2">
    <w:abstractNumId w:val="1"/>
  </w:num>
  <w:num w:numId="3">
    <w:abstractNumId w:val="5"/>
  </w:num>
  <w:num w:numId="4">
    <w:abstractNumId w:val="11"/>
  </w:num>
  <w:num w:numId="5">
    <w:abstractNumId w:val="10"/>
  </w:num>
  <w:num w:numId="6">
    <w:abstractNumId w:val="6"/>
  </w:num>
  <w:num w:numId="7">
    <w:abstractNumId w:val="2"/>
  </w:num>
  <w:num w:numId="8">
    <w:abstractNumId w:val="7"/>
  </w:num>
  <w:num w:numId="9">
    <w:abstractNumId w:val="9"/>
  </w:num>
  <w:num w:numId="10">
    <w:abstractNumId w:val="4"/>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1" w:cryptProviderType="rsaFull" w:cryptAlgorithmClass="hash" w:cryptAlgorithmType="typeAny" w:cryptAlgorithmSid="4" w:cryptSpinCount="50000" w:hash="jObF7LS05qyeRBe+7b56CBcGEnQ=" w:salt="NNe5nfUzLqpq+swVXmPOf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0D"/>
    <w:rsid w:val="00106C9C"/>
    <w:rsid w:val="003A2ACC"/>
    <w:rsid w:val="003E6C0D"/>
    <w:rsid w:val="004B7AA9"/>
    <w:rsid w:val="005832D7"/>
    <w:rsid w:val="006D62ED"/>
    <w:rsid w:val="009553F1"/>
    <w:rsid w:val="00A62336"/>
    <w:rsid w:val="00E64E88"/>
    <w:rsid w:val="6A2D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571</Words>
  <Characters>3260</Characters>
  <Lines>27</Lines>
  <Paragraphs>7</Paragraphs>
  <TotalTime>4</TotalTime>
  <ScaleCrop>false</ScaleCrop>
  <LinksUpToDate>false</LinksUpToDate>
  <CharactersWithSpaces>3824</CharactersWithSpaces>
  <Application>WPS Office_11.1.0.8806_F1E327BC-269C-435d-A152-05C5408002CA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2019-06-28T02:21:00Z</dcterms:created>
  <dc:creator>黄兴</dc:creator>
  <cp:lastModifiedBy>Administrator</cp:lastModifiedBy>
  <dcterms:modified xsi:type="dcterms:W3CDTF">2019-07-02T03:24:25Z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