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916"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120"/>
        <w:gridCol w:w="829"/>
        <w:gridCol w:w="311"/>
        <w:gridCol w:w="1106"/>
        <w:gridCol w:w="194"/>
        <w:gridCol w:w="1082"/>
        <w:gridCol w:w="518"/>
        <w:gridCol w:w="474"/>
        <w:gridCol w:w="926"/>
        <w:gridCol w:w="6162"/>
        <w:gridCol w:w="992"/>
        <w:gridCol w:w="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1880" w:type="dxa"/>
            <w:gridSpan w:val="2"/>
            <w:tcBorders>
              <w:top w:val="nil"/>
              <w:left w:val="nil"/>
              <w:bottom w:val="nil"/>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附表1：</w:t>
            </w:r>
          </w:p>
        </w:tc>
        <w:tc>
          <w:tcPr>
            <w:tcW w:w="1140" w:type="dxa"/>
            <w:gridSpan w:val="2"/>
            <w:tcBorders>
              <w:top w:val="nil"/>
              <w:left w:val="nil"/>
              <w:bottom w:val="nil"/>
              <w:right w:val="nil"/>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300" w:type="dxa"/>
            <w:gridSpan w:val="2"/>
            <w:tcBorders>
              <w:top w:val="nil"/>
              <w:left w:val="nil"/>
              <w:bottom w:val="nil"/>
              <w:right w:val="nil"/>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600" w:type="dxa"/>
            <w:gridSpan w:val="2"/>
            <w:tcBorders>
              <w:top w:val="nil"/>
              <w:left w:val="nil"/>
              <w:bottom w:val="nil"/>
              <w:right w:val="nil"/>
            </w:tcBorders>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c>
          <w:tcPr>
            <w:tcW w:w="1400" w:type="dxa"/>
            <w:gridSpan w:val="2"/>
            <w:tcBorders>
              <w:top w:val="nil"/>
              <w:left w:val="nil"/>
              <w:bottom w:val="nil"/>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c>
          <w:tcPr>
            <w:tcW w:w="7596" w:type="dxa"/>
            <w:gridSpan w:val="3"/>
            <w:tcBorders>
              <w:top w:val="nil"/>
              <w:left w:val="nil"/>
              <w:bottom w:val="nil"/>
              <w:right w:val="nil"/>
            </w:tcBorders>
            <w:shd w:val="clear" w:color="000000" w:fill="FFFFFF"/>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750" w:hRule="atLeast"/>
        </w:trPr>
        <w:tc>
          <w:tcPr>
            <w:tcW w:w="14474" w:type="dxa"/>
            <w:gridSpan w:val="12"/>
            <w:tcBorders>
              <w:top w:val="nil"/>
              <w:left w:val="nil"/>
              <w:bottom w:val="single" w:color="auto" w:sz="4" w:space="0"/>
              <w:right w:val="nil"/>
            </w:tcBorders>
            <w:shd w:val="clear" w:color="000000" w:fill="FFFFFF"/>
            <w:noWrap/>
            <w:vAlign w:val="center"/>
          </w:tcPr>
          <w:p>
            <w:pPr>
              <w:widowControl/>
              <w:jc w:val="center"/>
              <w:rPr>
                <w:rFonts w:ascii="宋体" w:hAnsi="宋体" w:cs="宋体"/>
                <w:b/>
                <w:bCs/>
                <w:kern w:val="0"/>
                <w:sz w:val="32"/>
                <w:szCs w:val="32"/>
              </w:rPr>
            </w:pPr>
            <w:bookmarkStart w:id="0" w:name="_GoBack"/>
            <w:r>
              <w:rPr>
                <w:rFonts w:hint="eastAsia" w:ascii="宋体" w:hAnsi="宋体" w:cs="宋体"/>
                <w:b/>
                <w:bCs/>
                <w:kern w:val="0"/>
                <w:sz w:val="32"/>
                <w:szCs w:val="32"/>
              </w:rPr>
              <w:t>咸阳市第一人民医院2019年自主招聘人员计划一览表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285" w:hRule="atLeast"/>
        </w:trPr>
        <w:tc>
          <w:tcPr>
            <w:tcW w:w="760" w:type="dxa"/>
            <w:vMerge w:val="restart"/>
            <w:tcBorders>
              <w:top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岗位类别</w:t>
            </w:r>
          </w:p>
        </w:tc>
        <w:tc>
          <w:tcPr>
            <w:tcW w:w="1120" w:type="dxa"/>
            <w:vMerge w:val="restart"/>
            <w:tcBorders>
              <w:top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岗位名称</w:t>
            </w:r>
          </w:p>
        </w:tc>
        <w:tc>
          <w:tcPr>
            <w:tcW w:w="829" w:type="dxa"/>
            <w:vMerge w:val="restart"/>
            <w:tcBorders>
              <w:top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招聘人数</w:t>
            </w:r>
          </w:p>
        </w:tc>
        <w:tc>
          <w:tcPr>
            <w:tcW w:w="10773" w:type="dxa"/>
            <w:gridSpan w:val="8"/>
            <w:tcBorders>
              <w:top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所需条件</w:t>
            </w:r>
          </w:p>
        </w:tc>
        <w:tc>
          <w:tcPr>
            <w:tcW w:w="992" w:type="dxa"/>
            <w:vMerge w:val="restart"/>
            <w:tcBorders>
              <w:top w:val="single" w:color="auto" w:sz="4" w:space="0"/>
            </w:tcBorders>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285" w:hRule="atLeast"/>
        </w:trPr>
        <w:tc>
          <w:tcPr>
            <w:tcW w:w="760" w:type="dxa"/>
            <w:vMerge w:val="continue"/>
            <w:vAlign w:val="center"/>
          </w:tcPr>
          <w:p>
            <w:pPr>
              <w:widowControl/>
              <w:jc w:val="left"/>
              <w:rPr>
                <w:rFonts w:ascii="宋体" w:hAnsi="宋体" w:cs="宋体"/>
                <w:b/>
                <w:bCs/>
                <w:kern w:val="0"/>
                <w:sz w:val="24"/>
              </w:rPr>
            </w:pPr>
          </w:p>
        </w:tc>
        <w:tc>
          <w:tcPr>
            <w:tcW w:w="1120" w:type="dxa"/>
            <w:vMerge w:val="continue"/>
            <w:vAlign w:val="center"/>
          </w:tcPr>
          <w:p>
            <w:pPr>
              <w:widowControl/>
              <w:jc w:val="left"/>
              <w:rPr>
                <w:rFonts w:ascii="宋体" w:hAnsi="宋体" w:cs="宋体"/>
                <w:b/>
                <w:bCs/>
                <w:kern w:val="0"/>
                <w:sz w:val="24"/>
              </w:rPr>
            </w:pPr>
          </w:p>
        </w:tc>
        <w:tc>
          <w:tcPr>
            <w:tcW w:w="829" w:type="dxa"/>
            <w:vMerge w:val="continue"/>
            <w:vAlign w:val="center"/>
          </w:tcPr>
          <w:p>
            <w:pPr>
              <w:widowControl/>
              <w:jc w:val="left"/>
              <w:rPr>
                <w:rFonts w:ascii="宋体" w:hAnsi="宋体" w:cs="宋体"/>
                <w:b/>
                <w:bCs/>
                <w:kern w:val="0"/>
                <w:sz w:val="24"/>
              </w:rPr>
            </w:pPr>
          </w:p>
        </w:tc>
        <w:tc>
          <w:tcPr>
            <w:tcW w:w="1417" w:type="dxa"/>
            <w:gridSpan w:val="2"/>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专业名称</w:t>
            </w:r>
          </w:p>
        </w:tc>
        <w:tc>
          <w:tcPr>
            <w:tcW w:w="1276" w:type="dxa"/>
            <w:gridSpan w:val="2"/>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学历</w:t>
            </w:r>
          </w:p>
        </w:tc>
        <w:tc>
          <w:tcPr>
            <w:tcW w:w="992" w:type="dxa"/>
            <w:gridSpan w:val="2"/>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学位</w:t>
            </w:r>
          </w:p>
        </w:tc>
        <w:tc>
          <w:tcPr>
            <w:tcW w:w="7088" w:type="dxa"/>
            <w:gridSpan w:val="2"/>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其他条件</w:t>
            </w:r>
          </w:p>
        </w:tc>
        <w:tc>
          <w:tcPr>
            <w:tcW w:w="992" w:type="dxa"/>
            <w:vMerge w:val="continue"/>
            <w:vAlign w:val="center"/>
          </w:tcPr>
          <w:p>
            <w:pPr>
              <w:widowControl/>
              <w:jc w:val="left"/>
              <w:rPr>
                <w:rFonts w:ascii="宋体" w:hAnsi="宋体"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眼科医师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眼科学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2、本科阶段为全日制普通高等西医院校统招五年制临床医学或眼视光学专业，不含专升本。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心血管内科医师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内科学（心血管方向)</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骨科医师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外科学（骨科方向）</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神经外科医师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外科学（神经外科方向)</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血液内科医师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内科学（血液内科方向)</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急诊科医师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临床医学、急诊学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1、全日制普通高等院校硕士。</w:t>
            </w:r>
            <w:r>
              <w:rPr>
                <w:rFonts w:hint="eastAsia" w:ascii="宋体" w:hAnsi="宋体" w:cs="宋体"/>
                <w:kern w:val="0"/>
                <w:sz w:val="24"/>
              </w:rPr>
              <w:br w:type="textWrapping"/>
            </w:r>
            <w:r>
              <w:rPr>
                <w:rFonts w:hint="eastAsia" w:ascii="宋体" w:hAnsi="宋体" w:cs="宋体"/>
                <w:kern w:val="0"/>
                <w:sz w:val="24"/>
              </w:rPr>
              <w:t>2、本科阶段为全日制普通高等院校统招五年制临床医学或急诊学专业（二本及以上），不含专升本。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重症医学科（ICU)医师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临床医学、内科学、外科学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妇产科医师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妇产科学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page"/>
            </w:r>
            <w:r>
              <w:rPr>
                <w:rFonts w:hint="eastAsia" w:ascii="宋体" w:hAnsi="宋体" w:cs="宋体"/>
                <w:kern w:val="0"/>
                <w:sz w:val="24"/>
              </w:rPr>
              <w:t>2、本科阶段为全日制普通高等西医院校统招五年制临床医学专业，不含专升本。</w:t>
            </w:r>
            <w:r>
              <w:rPr>
                <w:rFonts w:hint="eastAsia" w:ascii="宋体" w:hAnsi="宋体" w:cs="宋体"/>
                <w:kern w:val="0"/>
                <w:sz w:val="24"/>
              </w:rPr>
              <w:br w:type="page"/>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儿科医师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儿科学、儿少卫生与妇幼保健学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2、本科阶段为全日制普通高等西医院校统招五年制临床医学或妇幼保健医学专业，不含专升本。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肝胆外科医师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外科学（肝胆外科方向）</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口腔科医师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口腔临床医学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1、全日制普通西医高等院校硕士。</w:t>
            </w:r>
            <w:r>
              <w:rPr>
                <w:rFonts w:hint="eastAsia" w:ascii="宋体" w:hAnsi="宋体" w:cs="宋体"/>
                <w:kern w:val="0"/>
                <w:sz w:val="24"/>
              </w:rPr>
              <w:br w:type="textWrapping"/>
            </w:r>
            <w:r>
              <w:rPr>
                <w:rFonts w:hint="eastAsia" w:ascii="宋体" w:hAnsi="宋体" w:cs="宋体"/>
                <w:kern w:val="0"/>
                <w:sz w:val="24"/>
              </w:rPr>
              <w:t>2、本科阶段为全日制普通高等院校统招五年制口腔医学专业（二本及以上），不含专升本。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肿瘤科医师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肿瘤学、内科学（肿瘤内科方向）</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心胸外科医师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外科学（心胸外科方向）</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麻醉科医师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麻醉学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2、本科阶段为全日制普通高等西医院校统招五年制麻醉学专业（二本及以上），不含专升本。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耳鼻喉科医师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耳鼻咽喉科学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page"/>
            </w:r>
            <w:r>
              <w:rPr>
                <w:rFonts w:hint="eastAsia" w:ascii="宋体" w:hAnsi="宋体" w:cs="宋体"/>
                <w:kern w:val="0"/>
                <w:sz w:val="24"/>
              </w:rPr>
              <w:t>2、本科阶段为全日制普通高等西医院校统招五年制临床医学专业（二本及以上），不含专升本。</w:t>
            </w:r>
            <w:r>
              <w:rPr>
                <w:rFonts w:hint="eastAsia" w:ascii="宋体" w:hAnsi="宋体" w:cs="宋体"/>
                <w:kern w:val="0"/>
                <w:sz w:val="24"/>
              </w:rPr>
              <w:br w:type="page"/>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检验技师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临床检验诊断学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2、本科阶段为全日制普通高等院校统招检验学专业或临床医学（二本及以上）。</w:t>
            </w:r>
            <w:r>
              <w:rPr>
                <w:rFonts w:hint="eastAsia" w:ascii="宋体" w:hAnsi="宋体" w:cs="宋体"/>
                <w:kern w:val="0"/>
                <w:sz w:val="24"/>
              </w:rPr>
              <w:br w:type="textWrapping"/>
            </w:r>
            <w:r>
              <w:rPr>
                <w:rFonts w:hint="eastAsia" w:ascii="宋体" w:hAnsi="宋体" w:cs="宋体"/>
                <w:kern w:val="0"/>
                <w:sz w:val="24"/>
              </w:rPr>
              <w:t>3、具备检验师资格证。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病理科医师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病理学与病理生理学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2、本科阶段为全日制普通高等院校统招临床医学专业，不含专升本。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超声科医师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影像医学与核医学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2、本科阶段为全日制普通高等西医院校统招五年制临床医学或医学影像学专业（二本及以上），不含专升本。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CT科医师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影像医学与核医学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1、全日制普通高等西医院校硕士。</w:t>
            </w:r>
            <w:r>
              <w:rPr>
                <w:rFonts w:hint="eastAsia" w:ascii="宋体" w:hAnsi="宋体" w:cs="宋体"/>
                <w:kern w:val="0"/>
                <w:sz w:val="24"/>
              </w:rPr>
              <w:br w:type="textWrapping"/>
            </w:r>
            <w:r>
              <w:rPr>
                <w:rFonts w:hint="eastAsia" w:ascii="宋体" w:hAnsi="宋体" w:cs="宋体"/>
                <w:kern w:val="0"/>
                <w:sz w:val="24"/>
              </w:rPr>
              <w:t>2、本科阶段为全日制普通高等西医院校统招五年制临床医学或医学影像学专业（二本及以上），不含专升本。</w:t>
            </w:r>
            <w:r>
              <w:rPr>
                <w:rFonts w:hint="eastAsia" w:ascii="宋体" w:hAnsi="宋体" w:cs="宋体"/>
                <w:kern w:val="0"/>
                <w:sz w:val="24"/>
              </w:rPr>
              <w:br w:type="textWrapping"/>
            </w:r>
            <w:r>
              <w:rPr>
                <w:rFonts w:hint="eastAsia" w:ascii="宋体" w:hAnsi="宋体" w:cs="宋体"/>
                <w:kern w:val="0"/>
                <w:sz w:val="24"/>
              </w:rPr>
              <w:t>3、具备医师资格证。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行政</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行政管理岗</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3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护理学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1、全日制普通高等院校硕士。</w:t>
            </w:r>
            <w:r>
              <w:rPr>
                <w:rFonts w:hint="eastAsia" w:ascii="宋体" w:hAnsi="宋体" w:cs="宋体"/>
                <w:kern w:val="0"/>
                <w:sz w:val="24"/>
              </w:rPr>
              <w:br w:type="textWrapping"/>
            </w:r>
            <w:r>
              <w:rPr>
                <w:rFonts w:hint="eastAsia" w:ascii="宋体" w:hAnsi="宋体" w:cs="宋体"/>
                <w:kern w:val="0"/>
                <w:sz w:val="24"/>
              </w:rPr>
              <w:t>2、本科阶段为全日制普通高等院校统招四年制护理专业，不含专升本。</w:t>
            </w:r>
            <w:r>
              <w:rPr>
                <w:rFonts w:hint="eastAsia" w:ascii="宋体" w:hAnsi="宋体" w:cs="宋体"/>
                <w:kern w:val="0"/>
                <w:sz w:val="24"/>
              </w:rPr>
              <w:br w:type="textWrapping"/>
            </w:r>
            <w:r>
              <w:rPr>
                <w:rFonts w:hint="eastAsia" w:ascii="宋体" w:hAnsi="宋体" w:cs="宋体"/>
                <w:kern w:val="0"/>
                <w:sz w:val="24"/>
              </w:rPr>
              <w:t>3、具备护士执业资质。</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行政</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行政管理岗</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社会医学与卫生事业管理</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1、全日制普通高等院校硕士。</w:t>
            </w:r>
            <w:r>
              <w:rPr>
                <w:rFonts w:hint="eastAsia" w:ascii="宋体" w:hAnsi="宋体" w:cs="宋体"/>
                <w:kern w:val="0"/>
                <w:sz w:val="24"/>
              </w:rPr>
              <w:br w:type="textWrapping"/>
            </w:r>
            <w:r>
              <w:rPr>
                <w:rFonts w:hint="eastAsia" w:ascii="宋体" w:hAnsi="宋体" w:cs="宋体"/>
                <w:kern w:val="0"/>
                <w:sz w:val="24"/>
              </w:rPr>
              <w:t>2、本科阶段为全日制普通高等院校统招公共卫生类专业或临床医学专业，不含专升本。</w:t>
            </w:r>
          </w:p>
        </w:tc>
        <w:tc>
          <w:tcPr>
            <w:tcW w:w="992"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114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行政</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行政管理岗</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会计学</w:t>
            </w:r>
          </w:p>
        </w:tc>
        <w:tc>
          <w:tcPr>
            <w:tcW w:w="1276"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研究生及以上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硕士及以上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1、全日制普通高等院校硕士。</w:t>
            </w:r>
            <w:r>
              <w:rPr>
                <w:rFonts w:hint="eastAsia" w:ascii="宋体" w:hAnsi="宋体" w:cs="宋体"/>
                <w:kern w:val="0"/>
                <w:sz w:val="24"/>
              </w:rPr>
              <w:br w:type="page"/>
            </w:r>
            <w:r>
              <w:rPr>
                <w:rFonts w:hint="eastAsia" w:ascii="宋体" w:hAnsi="宋体" w:cs="宋体"/>
                <w:kern w:val="0"/>
                <w:sz w:val="24"/>
              </w:rPr>
              <w:t>2、本科阶段为全日制普通高等院校统招会计及其它相关金融类专业，不含专升本。</w:t>
            </w:r>
            <w:r>
              <w:rPr>
                <w:rFonts w:hint="eastAsia" w:ascii="宋体" w:hAnsi="宋体" w:cs="宋体"/>
                <w:kern w:val="0"/>
                <w:sz w:val="24"/>
              </w:rPr>
              <w:br w:type="page"/>
            </w:r>
            <w:r>
              <w:rPr>
                <w:rFonts w:hint="eastAsia" w:ascii="宋体" w:hAnsi="宋体" w:cs="宋体"/>
                <w:kern w:val="0"/>
                <w:sz w:val="24"/>
              </w:rPr>
              <w:t>3、具备助理会计师资格证。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眼视光学医师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眼视光学、临床医学</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1、全日制普通高等院校统招五年制本科（一本），不含专升本。</w:t>
            </w:r>
            <w:r>
              <w:rPr>
                <w:rFonts w:hint="eastAsia" w:ascii="宋体" w:hAnsi="宋体" w:cs="宋体"/>
                <w:kern w:val="0"/>
                <w:sz w:val="24"/>
              </w:rPr>
              <w:br w:type="textWrapping"/>
            </w:r>
            <w:r>
              <w:rPr>
                <w:rFonts w:hint="eastAsia" w:ascii="宋体" w:hAnsi="宋体" w:cs="宋体"/>
                <w:kern w:val="0"/>
                <w:sz w:val="24"/>
              </w:rPr>
              <w:t>2、2017年及以前本科毕业的需具备医师资格证。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急诊科医师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临床医学、急诊学</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1、全日制普通高等院校统招五年制本科（二本），不含专升本。</w:t>
            </w:r>
            <w:r>
              <w:rPr>
                <w:rFonts w:hint="eastAsia" w:ascii="宋体" w:hAnsi="宋体" w:cs="宋体"/>
                <w:kern w:val="0"/>
                <w:sz w:val="24"/>
              </w:rPr>
              <w:br w:type="textWrapping"/>
            </w:r>
            <w:r>
              <w:rPr>
                <w:rFonts w:hint="eastAsia" w:ascii="宋体" w:hAnsi="宋体" w:cs="宋体"/>
                <w:kern w:val="0"/>
                <w:sz w:val="24"/>
              </w:rPr>
              <w:t>2、2017年及以前本科毕业的需具备医师资格证。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临床护理</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7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护理学</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1、全日制普通高等院校统招四年制本科（二本），不含专升本。</w:t>
            </w:r>
            <w:r>
              <w:rPr>
                <w:rFonts w:hint="eastAsia" w:ascii="宋体" w:hAnsi="宋体" w:cs="宋体"/>
                <w:kern w:val="0"/>
                <w:sz w:val="24"/>
              </w:rPr>
              <w:br w:type="textWrapping"/>
            </w:r>
            <w:r>
              <w:rPr>
                <w:rFonts w:hint="eastAsia" w:ascii="宋体" w:hAnsi="宋体" w:cs="宋体"/>
                <w:kern w:val="0"/>
                <w:sz w:val="24"/>
              </w:rPr>
              <w:t>2、2018年及以前本科毕业的需具备护士资格证。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66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营养科医师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6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临床医学</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1、全日制普通高等西医院校统招五年制，不含专升本。</w:t>
            </w:r>
            <w:r>
              <w:rPr>
                <w:rFonts w:hint="eastAsia" w:ascii="宋体" w:hAnsi="宋体" w:cs="宋体"/>
                <w:kern w:val="0"/>
                <w:sz w:val="24"/>
              </w:rPr>
              <w:br w:type="textWrapping"/>
            </w:r>
            <w:r>
              <w:rPr>
                <w:rFonts w:hint="eastAsia" w:ascii="宋体" w:hAnsi="宋体" w:cs="宋体"/>
                <w:kern w:val="0"/>
                <w:sz w:val="24"/>
              </w:rPr>
              <w:t>2、2017年及以前本科毕业的需具备医师资格证。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医疗</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精神科医师</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精神医学</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1、全日制普通高等西医院校统招五年制本科（二本），不含专升本。</w:t>
            </w:r>
            <w:r>
              <w:rPr>
                <w:rFonts w:hint="eastAsia" w:ascii="宋体" w:hAnsi="宋体" w:cs="宋体"/>
                <w:kern w:val="0"/>
                <w:sz w:val="24"/>
              </w:rPr>
              <w:br w:type="textWrapping"/>
            </w:r>
            <w:r>
              <w:rPr>
                <w:rFonts w:hint="eastAsia" w:ascii="宋体" w:hAnsi="宋体" w:cs="宋体"/>
                <w:kern w:val="0"/>
                <w:sz w:val="24"/>
              </w:rPr>
              <w:t>2、2017年及以前本科毕业的需具备医师资格证。</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70"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行政</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行政岗</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2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软件工程、网络工程</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全日制普通高等院校统招四年制本科（一本及以上），不含专升本。</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行政</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行政岗</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电气工程及其自动化</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全日制普通高等院校统招四年制本科（一本及以上），不含专升本。</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855" w:hRule="atLeast"/>
        </w:trPr>
        <w:tc>
          <w:tcPr>
            <w:tcW w:w="760"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行政</w:t>
            </w:r>
          </w:p>
        </w:tc>
        <w:tc>
          <w:tcPr>
            <w:tcW w:w="1120"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行政岗</w:t>
            </w:r>
          </w:p>
        </w:tc>
        <w:tc>
          <w:tcPr>
            <w:tcW w:w="829"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1 </w:t>
            </w:r>
          </w:p>
        </w:tc>
        <w:tc>
          <w:tcPr>
            <w:tcW w:w="1417"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计算机科学与技术</w:t>
            </w:r>
          </w:p>
        </w:tc>
        <w:tc>
          <w:tcPr>
            <w:tcW w:w="1276"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本科及以上</w:t>
            </w:r>
          </w:p>
        </w:tc>
        <w:tc>
          <w:tcPr>
            <w:tcW w:w="992" w:type="dxa"/>
            <w:gridSpan w:val="2"/>
            <w:shd w:val="clear" w:color="000000" w:fill="FFFFFF"/>
            <w:vAlign w:val="center"/>
          </w:tcPr>
          <w:p>
            <w:pPr>
              <w:widowControl/>
              <w:jc w:val="left"/>
              <w:rPr>
                <w:rFonts w:ascii="宋体" w:hAnsi="宋体" w:cs="宋体"/>
                <w:kern w:val="0"/>
                <w:sz w:val="24"/>
              </w:rPr>
            </w:pPr>
            <w:r>
              <w:rPr>
                <w:rFonts w:hint="eastAsia" w:ascii="宋体" w:hAnsi="宋体" w:cs="宋体"/>
                <w:kern w:val="0"/>
                <w:sz w:val="24"/>
              </w:rPr>
              <w:t>学士及以上</w:t>
            </w:r>
          </w:p>
        </w:tc>
        <w:tc>
          <w:tcPr>
            <w:tcW w:w="7088" w:type="dxa"/>
            <w:gridSpan w:val="2"/>
            <w:shd w:val="clear" w:color="000000" w:fill="FFFFFF"/>
          </w:tcPr>
          <w:p>
            <w:pPr>
              <w:widowControl/>
              <w:jc w:val="left"/>
              <w:rPr>
                <w:rFonts w:ascii="宋体" w:hAnsi="宋体" w:cs="宋体"/>
                <w:kern w:val="0"/>
                <w:sz w:val="24"/>
              </w:rPr>
            </w:pPr>
            <w:r>
              <w:rPr>
                <w:rFonts w:hint="eastAsia" w:ascii="宋体" w:hAnsi="宋体" w:cs="宋体"/>
                <w:kern w:val="0"/>
                <w:sz w:val="24"/>
              </w:rPr>
              <w:t>全日制普通高等院校统招四年制本科（二本及以上），不含专升本。</w:t>
            </w:r>
          </w:p>
        </w:tc>
        <w:tc>
          <w:tcPr>
            <w:tcW w:w="992" w:type="dxa"/>
            <w:shd w:val="clear" w:color="000000" w:fill="FFFFFF"/>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442" w:type="dxa"/>
          <w:trHeight w:val="525" w:hRule="atLeast"/>
        </w:trPr>
        <w:tc>
          <w:tcPr>
            <w:tcW w:w="1880" w:type="dxa"/>
            <w:gridSpan w:val="2"/>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合计</w:t>
            </w:r>
          </w:p>
        </w:tc>
        <w:tc>
          <w:tcPr>
            <w:tcW w:w="12594" w:type="dxa"/>
            <w:gridSpan w:val="10"/>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 xml:space="preserve">55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3C5"/>
    <w:rsid w:val="005B43C5"/>
    <w:rsid w:val="007E106A"/>
    <w:rsid w:val="00DF0038"/>
    <w:rsid w:val="6F226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461</Words>
  <Characters>2630</Characters>
  <Lines>21</Lines>
  <Paragraphs>6</Paragraphs>
  <TotalTime>0</TotalTime>
  <ScaleCrop>false</ScaleCrop>
  <LinksUpToDate>false</LinksUpToDate>
  <CharactersWithSpaces>3085</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2019-06-28T06:26:00Z</dcterms:created>
  <dc:creator>仝家珲</dc:creator>
  <cp:lastModifiedBy>Administrator</cp:lastModifiedBy>
  <dcterms:modified xsi:type="dcterms:W3CDTF">2019-07-04T02:18:46Z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