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r>
        <w:rPr>
          <w:rFonts w:hint="eastAsia" w:ascii="黑体" w:hAnsi="黑体" w:eastAsia="黑体" w:cs="黑体"/>
          <w:sz w:val="32"/>
          <w:szCs w:val="32"/>
        </w:rPr>
        <w:t>：</w:t>
      </w:r>
    </w:p>
    <w:p>
      <w:pPr>
        <w:jc w:val="left"/>
        <w:rPr>
          <w:rFonts w:ascii="黑体" w:hAnsi="黑体" w:eastAsia="黑体" w:cs="黑体"/>
          <w:sz w:val="32"/>
          <w:szCs w:val="32"/>
        </w:rPr>
      </w:pPr>
    </w:p>
    <w:p>
      <w:pPr>
        <w:jc w:val="center"/>
        <w:rPr>
          <w:rFonts w:ascii="Times New Roman" w:hAnsi="Times New Roman"/>
          <w:b/>
          <w:bCs/>
          <w:color w:val="000000"/>
          <w:kern w:val="0"/>
          <w:sz w:val="32"/>
          <w:szCs w:val="32"/>
        </w:rPr>
      </w:pPr>
      <w:bookmarkStart w:id="0" w:name="_GoBack"/>
      <w:r>
        <w:rPr>
          <w:rFonts w:ascii="Times New Roman" w:hAnsi="Times New Roman"/>
          <w:b/>
          <w:bCs/>
          <w:sz w:val="32"/>
          <w:szCs w:val="32"/>
        </w:rPr>
        <w:t>福建省福州儿童医院2019年度</w:t>
      </w:r>
      <w:r>
        <w:rPr>
          <w:rFonts w:hint="eastAsia" w:ascii="Times New Roman" w:hAnsi="Times New Roman"/>
          <w:b/>
          <w:bCs/>
          <w:sz w:val="32"/>
          <w:szCs w:val="32"/>
        </w:rPr>
        <w:t>第二批</w:t>
      </w:r>
      <w:r>
        <w:rPr>
          <w:rFonts w:ascii="Times New Roman" w:hAnsi="Times New Roman"/>
          <w:b/>
          <w:bCs/>
          <w:sz w:val="32"/>
          <w:szCs w:val="32"/>
        </w:rPr>
        <w:t>公开招聘</w:t>
      </w:r>
      <w:r>
        <w:rPr>
          <w:rFonts w:hint="eastAsia" w:ascii="Times New Roman" w:hAnsi="Times New Roman"/>
          <w:b/>
          <w:bCs/>
          <w:sz w:val="32"/>
          <w:szCs w:val="32"/>
        </w:rPr>
        <w:t>卫生专业技术</w:t>
      </w:r>
      <w:r>
        <w:rPr>
          <w:rFonts w:ascii="Times New Roman" w:hAnsi="Times New Roman"/>
          <w:b/>
          <w:bCs/>
          <w:sz w:val="32"/>
          <w:szCs w:val="32"/>
        </w:rPr>
        <w:t>人员岗位信息表</w:t>
      </w:r>
    </w:p>
    <w:bookmarkEnd w:id="0"/>
    <w:tbl>
      <w:tblPr>
        <w:tblStyle w:val="4"/>
        <w:tblW w:w="13988" w:type="dxa"/>
        <w:tblInd w:w="0" w:type="dxa"/>
        <w:tblLayout w:type="fixed"/>
        <w:tblCellMar>
          <w:top w:w="15" w:type="dxa"/>
          <w:left w:w="15" w:type="dxa"/>
          <w:bottom w:w="15" w:type="dxa"/>
          <w:right w:w="15" w:type="dxa"/>
        </w:tblCellMar>
      </w:tblPr>
      <w:tblGrid>
        <w:gridCol w:w="710"/>
        <w:gridCol w:w="1079"/>
        <w:gridCol w:w="662"/>
        <w:gridCol w:w="965"/>
        <w:gridCol w:w="964"/>
        <w:gridCol w:w="965"/>
        <w:gridCol w:w="965"/>
        <w:gridCol w:w="834"/>
        <w:gridCol w:w="765"/>
        <w:gridCol w:w="1155"/>
        <w:gridCol w:w="1035"/>
        <w:gridCol w:w="975"/>
        <w:gridCol w:w="960"/>
        <w:gridCol w:w="1954"/>
      </w:tblGrid>
      <w:tr>
        <w:tblPrEx>
          <w:tblCellMar>
            <w:top w:w="15" w:type="dxa"/>
            <w:left w:w="15" w:type="dxa"/>
            <w:bottom w:w="15" w:type="dxa"/>
            <w:right w:w="15" w:type="dxa"/>
          </w:tblCellMar>
        </w:tblPrEx>
        <w:trPr>
          <w:trHeight w:val="390" w:hRule="atLeast"/>
        </w:trPr>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序号</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招聘单位</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kern w:val="0"/>
                <w:sz w:val="20"/>
                <w:szCs w:val="20"/>
              </w:rPr>
            </w:pPr>
            <w:r>
              <w:rPr>
                <w:rFonts w:ascii="Times New Roman" w:hAnsi="Times New Roman"/>
                <w:b/>
                <w:kern w:val="0"/>
                <w:sz w:val="20"/>
                <w:szCs w:val="20"/>
              </w:rPr>
              <w:t>单位</w:t>
            </w:r>
          </w:p>
          <w:p>
            <w:pPr>
              <w:widowControl/>
              <w:jc w:val="center"/>
              <w:textAlignment w:val="center"/>
              <w:rPr>
                <w:rFonts w:ascii="Times New Roman" w:hAnsi="Times New Roman"/>
                <w:b/>
                <w:sz w:val="20"/>
                <w:szCs w:val="20"/>
              </w:rPr>
            </w:pPr>
            <w:r>
              <w:rPr>
                <w:rFonts w:ascii="Times New Roman" w:hAnsi="Times New Roman"/>
                <w:b/>
                <w:kern w:val="0"/>
                <w:sz w:val="20"/>
                <w:szCs w:val="20"/>
              </w:rPr>
              <w:t>性质</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岗位代码</w:t>
            </w:r>
          </w:p>
        </w:tc>
        <w:tc>
          <w:tcPr>
            <w:tcW w:w="9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岗位名称</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岗位类别</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招聘人数</w:t>
            </w:r>
          </w:p>
        </w:tc>
        <w:tc>
          <w:tcPr>
            <w:tcW w:w="767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职  位  条  件</w:t>
            </w:r>
          </w:p>
        </w:tc>
      </w:tr>
      <w:tr>
        <w:tblPrEx>
          <w:tblCellMar>
            <w:top w:w="15" w:type="dxa"/>
            <w:left w:w="15" w:type="dxa"/>
            <w:bottom w:w="15" w:type="dxa"/>
            <w:right w:w="15" w:type="dxa"/>
          </w:tblCellMar>
        </w:tblPrEx>
        <w:trPr>
          <w:trHeight w:val="390" w:hRule="atLeast"/>
        </w:trPr>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9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b/>
                <w:sz w:val="20"/>
                <w:szCs w:val="20"/>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性别</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年 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学历层次</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学历类别</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学位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专业要求</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b/>
                <w:sz w:val="20"/>
                <w:szCs w:val="20"/>
              </w:rPr>
            </w:pPr>
            <w:r>
              <w:rPr>
                <w:rFonts w:ascii="Times New Roman" w:hAnsi="Times New Roman"/>
                <w:b/>
                <w:kern w:val="0"/>
                <w:sz w:val="20"/>
                <w:szCs w:val="20"/>
              </w:rPr>
              <w:t>其他条件</w:t>
            </w:r>
          </w:p>
        </w:tc>
      </w:tr>
      <w:tr>
        <w:tblPrEx>
          <w:tblCellMar>
            <w:top w:w="15" w:type="dxa"/>
            <w:left w:w="15" w:type="dxa"/>
            <w:bottom w:w="15" w:type="dxa"/>
            <w:right w:w="15" w:type="dxa"/>
          </w:tblCellMar>
        </w:tblPrEx>
        <w:trPr>
          <w:trHeight w:val="109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01</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中心实验室</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40周岁及以下（适当放宽年龄）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博士研究生</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全日制普通院校毕业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博士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临床医学类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具有实验室研究工作经验。</w:t>
            </w:r>
          </w:p>
        </w:tc>
      </w:tr>
      <w:tr>
        <w:tblPrEx>
          <w:tblCellMar>
            <w:top w:w="15" w:type="dxa"/>
            <w:left w:w="15" w:type="dxa"/>
            <w:bottom w:w="15" w:type="dxa"/>
            <w:right w:w="15" w:type="dxa"/>
          </w:tblCellMar>
        </w:tblPrEx>
        <w:trPr>
          <w:trHeight w:val="167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02</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中心实验室</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2</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临床医学类</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sz w:val="20"/>
                <w:szCs w:val="20"/>
              </w:rPr>
            </w:pPr>
            <w:r>
              <w:rPr>
                <w:rFonts w:ascii="Times New Roman" w:hAnsi="Times New Roman"/>
                <w:sz w:val="20"/>
                <w:szCs w:val="20"/>
              </w:rPr>
              <w:t>学术型硕士研究生</w:t>
            </w:r>
          </w:p>
        </w:tc>
      </w:tr>
      <w:tr>
        <w:tblPrEx>
          <w:tblCellMar>
            <w:top w:w="15" w:type="dxa"/>
            <w:left w:w="15" w:type="dxa"/>
            <w:bottom w:w="15" w:type="dxa"/>
            <w:right w:w="15" w:type="dxa"/>
          </w:tblCellMar>
        </w:tblPrEx>
        <w:trPr>
          <w:trHeight w:val="1036"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03</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内分泌</w:t>
            </w:r>
            <w:r>
              <w:rPr>
                <w:rFonts w:hint="eastAsia" w:ascii="Times New Roman" w:hAnsi="Times New Roman"/>
                <w:sz w:val="20"/>
                <w:szCs w:val="20"/>
              </w:rPr>
              <w:t>科</w:t>
            </w:r>
            <w:r>
              <w:rPr>
                <w:rFonts w:ascii="Times New Roman" w:hAnsi="Times New Roman"/>
                <w:sz w:val="20"/>
                <w:szCs w:val="20"/>
              </w:rPr>
              <w:t>医师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textAlignment w:val="center"/>
              <w:rPr>
                <w:rFonts w:ascii="Times New Roman" w:hAnsi="Times New Roman"/>
                <w:sz w:val="20"/>
                <w:szCs w:val="20"/>
                <w:shd w:val="clear" w:color="FFFFFF" w:fill="D9D9D9"/>
              </w:rPr>
            </w:pPr>
            <w:r>
              <w:rPr>
                <w:rFonts w:ascii="Times New Roman" w:hAnsi="Times New Roman"/>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shd w:val="clear" w:color="FFFFFF" w:fill="D9D9D9"/>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儿科学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sz w:val="20"/>
                <w:szCs w:val="20"/>
              </w:rPr>
            </w:pPr>
            <w:r>
              <w:rPr>
                <w:rFonts w:ascii="Times New Roman" w:hAnsi="Times New Roman"/>
                <w:sz w:val="20"/>
                <w:szCs w:val="20"/>
              </w:rPr>
              <w:t>小儿内分泌研究方向，本科阶段须为全日制普通高等医学院校临床医学或儿科学或内科学专业毕业，其中临床医学、儿科学须为五年制毕业。</w:t>
            </w:r>
          </w:p>
        </w:tc>
      </w:tr>
      <w:tr>
        <w:tblPrEx>
          <w:tblCellMar>
            <w:top w:w="15" w:type="dxa"/>
            <w:left w:w="15" w:type="dxa"/>
            <w:bottom w:w="15" w:type="dxa"/>
            <w:right w:w="15" w:type="dxa"/>
          </w:tblCellMar>
        </w:tblPrEx>
        <w:trPr>
          <w:trHeight w:val="180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04</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药剂科</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hint="eastAsia" w:ascii="Times New Roman" w:hAnsi="Times New Roman"/>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textAlignment w:val="center"/>
              <w:rPr>
                <w:rFonts w:ascii="Times New Roman" w:hAnsi="Times New Roman"/>
                <w:sz w:val="20"/>
                <w:szCs w:val="20"/>
              </w:rPr>
            </w:pPr>
            <w:r>
              <w:rPr>
                <w:rFonts w:ascii="Times New Roman" w:hAnsi="Times New Roman"/>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Times New Roman" w:hAnsi="Times New Roman"/>
                <w:sz w:val="20"/>
                <w:szCs w:val="20"/>
              </w:rPr>
            </w:pPr>
            <w:r>
              <w:rPr>
                <w:rFonts w:ascii="Times New Roman" w:hAnsi="Times New Roman"/>
                <w:sz w:val="20"/>
                <w:szCs w:val="20"/>
              </w:rPr>
              <w:t>药理学、临床药学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sz w:val="20"/>
                <w:szCs w:val="20"/>
              </w:rPr>
            </w:pPr>
            <w:r>
              <w:rPr>
                <w:rFonts w:ascii="Times New Roman" w:hAnsi="Times New Roman"/>
                <w:sz w:val="20"/>
                <w:szCs w:val="20"/>
              </w:rPr>
              <w:t>本科阶段须为全日制普通高等医学院校临床药学专业毕业。</w:t>
            </w:r>
          </w:p>
        </w:tc>
      </w:tr>
      <w:tr>
        <w:tblPrEx>
          <w:tblCellMar>
            <w:top w:w="15" w:type="dxa"/>
            <w:left w:w="15" w:type="dxa"/>
            <w:bottom w:w="15" w:type="dxa"/>
            <w:right w:w="15" w:type="dxa"/>
          </w:tblCellMar>
        </w:tblPrEx>
        <w:trPr>
          <w:trHeight w:val="180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05</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检验科</w:t>
            </w:r>
          </w:p>
          <w:p>
            <w:pPr>
              <w:widowControl/>
              <w:jc w:val="center"/>
              <w:textAlignment w:val="center"/>
              <w:rPr>
                <w:rFonts w:ascii="Times New Roman" w:hAnsi="Times New Roman"/>
                <w:kern w:val="0"/>
                <w:sz w:val="20"/>
                <w:szCs w:val="20"/>
              </w:rPr>
            </w:pPr>
            <w:r>
              <w:rPr>
                <w:rFonts w:ascii="Times New Roman" w:hAnsi="Times New Roman"/>
                <w:kern w:val="0"/>
                <w:sz w:val="20"/>
                <w:szCs w:val="20"/>
              </w:rPr>
              <w:t>实验员</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textAlignment w:val="center"/>
              <w:rPr>
                <w:rFonts w:ascii="Times New Roman" w:hAnsi="Times New Roman"/>
                <w:sz w:val="20"/>
                <w:szCs w:val="20"/>
              </w:rPr>
            </w:pPr>
            <w:r>
              <w:rPr>
                <w:rFonts w:ascii="Times New Roman" w:hAnsi="Times New Roman"/>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临床检验诊断学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p>
        </w:tc>
      </w:tr>
      <w:tr>
        <w:tblPrEx>
          <w:tblCellMar>
            <w:top w:w="15" w:type="dxa"/>
            <w:left w:w="15" w:type="dxa"/>
            <w:bottom w:w="15" w:type="dxa"/>
            <w:right w:w="15" w:type="dxa"/>
          </w:tblCellMar>
        </w:tblPrEx>
        <w:trPr>
          <w:trHeight w:val="180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6</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06</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儿外科医师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textAlignment w:val="center"/>
              <w:rPr>
                <w:rFonts w:ascii="Times New Roman" w:hAnsi="Times New Roman"/>
                <w:kern w:val="0"/>
                <w:sz w:val="20"/>
                <w:szCs w:val="20"/>
              </w:rPr>
            </w:pPr>
            <w:r>
              <w:rPr>
                <w:rFonts w:ascii="Times New Roman" w:hAnsi="Times New Roman"/>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abs>
                <w:tab w:val="left" w:pos="375"/>
              </w:tabs>
              <w:jc w:val="left"/>
              <w:textAlignment w:val="center"/>
              <w:rPr>
                <w:rFonts w:ascii="Times New Roman" w:hAnsi="Times New Roman"/>
                <w:kern w:val="0"/>
                <w:sz w:val="20"/>
                <w:szCs w:val="20"/>
              </w:rPr>
            </w:pPr>
            <w:r>
              <w:rPr>
                <w:rFonts w:hint="eastAsia" w:ascii="Times New Roman" w:hAnsi="Times New Roman"/>
                <w:kern w:val="0"/>
                <w:sz w:val="20"/>
                <w:szCs w:val="20"/>
              </w:rPr>
              <w:t>临床医学或外科学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本科阶段须为全日制普通高等医学院校临床医学专业毕业。</w:t>
            </w:r>
          </w:p>
        </w:tc>
      </w:tr>
      <w:tr>
        <w:tblPrEx>
          <w:tblCellMar>
            <w:top w:w="15" w:type="dxa"/>
            <w:left w:w="15" w:type="dxa"/>
            <w:bottom w:w="15" w:type="dxa"/>
            <w:right w:w="15" w:type="dxa"/>
          </w:tblCellMar>
        </w:tblPrEx>
        <w:trPr>
          <w:trHeight w:val="1801"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7</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07</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骨科医师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textAlignment w:val="center"/>
              <w:rPr>
                <w:rFonts w:ascii="Times New Roman" w:hAnsi="Times New Roman"/>
                <w:kern w:val="0"/>
                <w:sz w:val="20"/>
                <w:szCs w:val="20"/>
              </w:rPr>
            </w:pPr>
            <w:r>
              <w:rPr>
                <w:rFonts w:ascii="Times New Roman" w:hAnsi="Times New Roman"/>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临床医学或外科学或儿科学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本科阶段须为全日制普通高等医学院校临床医学或外科学或儿科学专业毕业,其中临床医学、儿科学须为五年制毕业。</w:t>
            </w:r>
          </w:p>
        </w:tc>
      </w:tr>
      <w:tr>
        <w:tblPrEx>
          <w:tblCellMar>
            <w:top w:w="15" w:type="dxa"/>
            <w:left w:w="15" w:type="dxa"/>
            <w:bottom w:w="15" w:type="dxa"/>
            <w:right w:w="15" w:type="dxa"/>
          </w:tblCellMar>
        </w:tblPrEx>
        <w:trPr>
          <w:trHeight w:val="209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8</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08</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新生儿科医师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男</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临床医学、儿科学、内科学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本科阶段须为全日制普通高等医学院校临床医学或儿科学或内科学专业毕业,其中临床医学、儿科学须为五年制毕业。</w:t>
            </w:r>
          </w:p>
        </w:tc>
      </w:tr>
      <w:tr>
        <w:tblPrEx>
          <w:tblCellMar>
            <w:top w:w="15" w:type="dxa"/>
            <w:left w:w="15" w:type="dxa"/>
            <w:bottom w:w="15" w:type="dxa"/>
            <w:right w:w="15" w:type="dxa"/>
          </w:tblCellMar>
        </w:tblPrEx>
        <w:trPr>
          <w:trHeight w:val="209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0</w:t>
            </w:r>
            <w:r>
              <w:rPr>
                <w:rFonts w:hint="eastAsia" w:ascii="Times New Roman" w:hAnsi="Times New Roman"/>
                <w:kern w:val="0"/>
                <w:sz w:val="20"/>
                <w:szCs w:val="20"/>
              </w:rPr>
              <w:t>9</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新生儿科医师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女</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35周岁及以下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临床医学、儿科学、内科学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本科阶段须为全日制普通高等医学院校临床医学或儿科学或内科学专业毕业,其中临床医学、儿科学须为五年制毕业。</w:t>
            </w:r>
          </w:p>
        </w:tc>
      </w:tr>
      <w:tr>
        <w:tblPrEx>
          <w:tblCellMar>
            <w:top w:w="15" w:type="dxa"/>
            <w:left w:w="15" w:type="dxa"/>
            <w:bottom w:w="15" w:type="dxa"/>
            <w:right w:w="15" w:type="dxa"/>
          </w:tblCellMar>
        </w:tblPrEx>
        <w:trPr>
          <w:trHeight w:val="2097" w:hRule="atLeast"/>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10</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福建省福州儿童医院</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财政</w:t>
            </w:r>
          </w:p>
          <w:p>
            <w:pPr>
              <w:widowControl/>
              <w:jc w:val="center"/>
              <w:textAlignment w:val="center"/>
              <w:rPr>
                <w:rFonts w:ascii="Times New Roman" w:hAnsi="Times New Roman"/>
                <w:kern w:val="0"/>
                <w:sz w:val="20"/>
                <w:szCs w:val="20"/>
              </w:rPr>
            </w:pPr>
            <w:r>
              <w:rPr>
                <w:rFonts w:ascii="Times New Roman" w:hAnsi="Times New Roman"/>
                <w:kern w:val="0"/>
                <w:sz w:val="20"/>
                <w:szCs w:val="20"/>
              </w:rPr>
              <w:t>拨补</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10</w:t>
            </w:r>
          </w:p>
        </w:tc>
        <w:tc>
          <w:tcPr>
            <w:tcW w:w="9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儿内科医师</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专技</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1</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hint="eastAsia" w:ascii="Times New Roman" w:hAnsi="Times New Roman"/>
                <w:kern w:val="0"/>
                <w:sz w:val="20"/>
                <w:szCs w:val="20"/>
              </w:rPr>
              <w:t>不限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40周岁及以下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硕士研究生及以上</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sz w:val="20"/>
                <w:szCs w:val="20"/>
              </w:rPr>
            </w:pPr>
            <w:r>
              <w:rPr>
                <w:rFonts w:ascii="Times New Roman" w:hAnsi="Times New Roman"/>
                <w:sz w:val="20"/>
                <w:szCs w:val="20"/>
              </w:rPr>
              <w:t>全日制普通高等医学院校毕业</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kern w:val="0"/>
                <w:sz w:val="20"/>
                <w:szCs w:val="20"/>
              </w:rPr>
            </w:pPr>
            <w:r>
              <w:rPr>
                <w:rFonts w:ascii="Times New Roman" w:hAnsi="Times New Roman"/>
                <w:kern w:val="0"/>
                <w:sz w:val="20"/>
                <w:szCs w:val="20"/>
              </w:rPr>
              <w:t>硕士学位及以上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200" w:firstLineChars="100"/>
              <w:jc w:val="left"/>
              <w:textAlignment w:val="center"/>
              <w:rPr>
                <w:rFonts w:ascii="Times New Roman" w:hAnsi="Times New Roman"/>
                <w:kern w:val="0"/>
                <w:sz w:val="20"/>
                <w:szCs w:val="20"/>
              </w:rPr>
            </w:pPr>
            <w:r>
              <w:rPr>
                <w:rFonts w:hint="eastAsia" w:ascii="Times New Roman" w:hAnsi="Times New Roman"/>
                <w:kern w:val="0"/>
                <w:sz w:val="20"/>
                <w:szCs w:val="20"/>
              </w:rPr>
              <w:t>儿科学</w:t>
            </w:r>
          </w:p>
        </w:tc>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kern w:val="0"/>
                <w:sz w:val="20"/>
                <w:szCs w:val="20"/>
              </w:rPr>
            </w:pPr>
            <w:r>
              <w:rPr>
                <w:rFonts w:ascii="Times New Roman" w:hAnsi="Times New Roman"/>
                <w:kern w:val="0"/>
                <w:sz w:val="20"/>
                <w:szCs w:val="20"/>
              </w:rPr>
              <w:t>本科阶段须为全日制普通高等医学院校临床医学或儿科学或内科学专业毕业,其中临床医学、儿科学须为五年制毕业。</w:t>
            </w:r>
            <w:r>
              <w:rPr>
                <w:rFonts w:hint="eastAsia" w:ascii="Times New Roman" w:hAnsi="Times New Roman"/>
                <w:kern w:val="0"/>
                <w:sz w:val="20"/>
                <w:szCs w:val="20"/>
              </w:rPr>
              <w:t>要</w:t>
            </w:r>
            <w:r>
              <w:rPr>
                <w:rFonts w:hint="eastAsia" w:ascii="Times New Roman" w:hAnsi="Times New Roman"/>
                <w:color w:val="auto"/>
                <w:kern w:val="0"/>
                <w:sz w:val="20"/>
                <w:szCs w:val="20"/>
              </w:rPr>
              <w:t>求</w:t>
            </w:r>
            <w:r>
              <w:rPr>
                <w:rFonts w:hint="eastAsia" w:ascii="宋体" w:cs="宋体"/>
                <w:color w:val="auto"/>
                <w:sz w:val="18"/>
                <w:szCs w:val="18"/>
              </w:rPr>
              <w:t>具有儿科</w:t>
            </w:r>
            <w:r>
              <w:rPr>
                <w:rFonts w:hint="eastAsia" w:ascii="宋体" w:cs="宋体"/>
                <w:color w:val="auto"/>
                <w:sz w:val="18"/>
                <w:szCs w:val="18"/>
                <w:lang w:eastAsia="zh-CN"/>
              </w:rPr>
              <w:t>学</w:t>
            </w:r>
            <w:r>
              <w:rPr>
                <w:rFonts w:hint="eastAsia" w:ascii="宋体" w:cs="宋体"/>
                <w:color w:val="auto"/>
                <w:sz w:val="18"/>
                <w:szCs w:val="18"/>
              </w:rPr>
              <w:t>主治医师及以上专业技术任职资格。</w:t>
            </w:r>
          </w:p>
        </w:tc>
      </w:tr>
    </w:tbl>
    <w:p>
      <w:pPr>
        <w:widowControl/>
        <w:jc w:val="left"/>
        <w:rPr>
          <w:rFonts w:ascii="宋体" w:cs="宋体"/>
          <w:color w:val="000000"/>
          <w:kern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A477F3"/>
    <w:rsid w:val="00244632"/>
    <w:rsid w:val="003737DD"/>
    <w:rsid w:val="004022AD"/>
    <w:rsid w:val="006921B0"/>
    <w:rsid w:val="008A501C"/>
    <w:rsid w:val="00DD4373"/>
    <w:rsid w:val="04035726"/>
    <w:rsid w:val="04AB179F"/>
    <w:rsid w:val="0D244183"/>
    <w:rsid w:val="2C7F4BB5"/>
    <w:rsid w:val="30A477F3"/>
    <w:rsid w:val="4FF42970"/>
    <w:rsid w:val="536A6FA8"/>
    <w:rsid w:val="67601CFF"/>
    <w:rsid w:val="6E3C6504"/>
    <w:rsid w:val="700901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Calibri" w:hAnsi="Calibri"/>
      <w:kern w:val="2"/>
      <w:sz w:val="18"/>
      <w:szCs w:val="18"/>
    </w:rPr>
  </w:style>
  <w:style w:type="character" w:customStyle="1" w:styleId="7">
    <w:name w:val="页脚 Char"/>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708</Words>
  <Characters>4037</Characters>
  <Lines>33</Lines>
  <Paragraphs>9</Paragraphs>
  <TotalTime>145</TotalTime>
  <ScaleCrop>false</ScaleCrop>
  <LinksUpToDate>false</LinksUpToDate>
  <CharactersWithSpaces>4736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2019-10-29T17:05:00Z</dcterms:created>
  <dc:creator>余贺彦</dc:creator>
  <cp:lastModifiedBy>Administrator</cp:lastModifiedBy>
  <cp:lastPrinted>2019-10-30T07:56:00Z</cp:lastPrinted>
  <dcterms:modified xsi:type="dcterms:W3CDTF">2019-10-31T06:11:41Z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