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16"/>
        <w:gridCol w:w="431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  <w:lang w:bidi="ar-SA"/>
              </w:rPr>
            </w:pPr>
            <w:bookmarkStart w:id="0" w:name="_GoBack"/>
            <w:bookmarkEnd w:id="0"/>
            <w:r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  <w:lang w:bidi="ar-SA"/>
              </w:rPr>
              <w:t>龙游县优秀卫生人才招聘综合素质能力考评内容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考评项目和内容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1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学历层次和毕业院校</w:t>
            </w:r>
          </w:p>
        </w:tc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2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技能特长</w:t>
            </w:r>
          </w:p>
        </w:tc>
        <w:tc>
          <w:tcPr>
            <w:tcW w:w="4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各类职业资格、等级证书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学业成绩</w:t>
            </w:r>
          </w:p>
        </w:tc>
        <w:tc>
          <w:tcPr>
            <w:tcW w:w="4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在校期间每学期各课程成绩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5</w:t>
            </w:r>
          </w:p>
        </w:tc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获奖情况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奖学金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本学科专业性获奖或荣誉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“三好学生”或“优秀学生”等综合性荣誉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担任职务及其他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参考校（院）学生会（党团）任职、班级任职、社会团体任职情况及参加社会活动情况</w:t>
            </w: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F7BD2"/>
    <w:rsid w:val="49601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