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潍坊市第二人民医院聘用制人员需求计划</w:t>
      </w:r>
    </w:p>
    <w:bookmarkEnd w:id="0"/>
    <w:tbl>
      <w:tblPr>
        <w:tblStyle w:val="4"/>
        <w:tblpPr w:leftFromText="180" w:rightFromText="180" w:vertAnchor="text" w:horzAnchor="page" w:tblpX="1384" w:tblpY="303"/>
        <w:tblOverlap w:val="never"/>
        <w:tblW w:w="9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90"/>
        <w:gridCol w:w="1993"/>
        <w:gridCol w:w="1202"/>
        <w:gridCol w:w="2773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康复学或康复技术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全日制大专(高中起点)及以上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临床医学或儿科学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全日制本科及以上，取得执业医师资格和规培证。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药剂师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中药学、药剂学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2（中、西药各1）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药学专业全日制本科及以上或全日制大专（高中起点）、有5年以上二级及以上医院相关工作经验。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全日制大专（高中起点）学历及以上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预防保健科科员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公共卫生或预防医学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全日制本科及以上，取得公共执业医师资格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会计学、财务管理相关专业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办公室科员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新闻传播学、汉语言文学等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医保办科员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医疗保险、劳动与社会保障、公共事业管理专业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人力资源部科员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人力资源管理、行政管理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67EE2"/>
    <w:rsid w:val="225E772D"/>
    <w:rsid w:val="49B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2019-11-12T07:11:00Z</dcterms:created>
  <dc:creator>工作中</dc:creator>
  <cp:lastModifiedBy>Administrator</cp:lastModifiedBy>
  <dcterms:modified xsi:type="dcterms:W3CDTF">2019-11-13T08:47:42Z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